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AB986">
      <w:pPr>
        <w:spacing w:after="60"/>
        <w:jc w:val="center"/>
        <w:rPr>
          <w:rFonts w:hint="eastAsia" w:ascii="黑体" w:hAnsi="方正公文小标宋" w:eastAsia="黑体" w:cs="方正公文小标宋"/>
          <w:sz w:val="40"/>
          <w:szCs w:val="44"/>
        </w:rPr>
      </w:pPr>
      <w:r>
        <w:rPr>
          <w:rFonts w:hint="eastAsia" w:ascii="黑体" w:hAnsi="方正公文小标宋" w:eastAsia="黑体" w:cs="方正公文小标宋"/>
          <w:sz w:val="40"/>
          <w:szCs w:val="44"/>
          <w:lang w:eastAsia="zh-CN"/>
        </w:rPr>
        <w:t>2026</w:t>
      </w:r>
      <w:r>
        <w:rPr>
          <w:rFonts w:hint="eastAsia" w:ascii="黑体" w:hAnsi="方正公文小标宋" w:eastAsia="黑体" w:cs="方正公文小标宋"/>
          <w:sz w:val="40"/>
          <w:szCs w:val="44"/>
          <w:lang w:val="en-US" w:eastAsia="zh-CN"/>
        </w:rPr>
        <w:t>花港迎春小学</w:t>
      </w:r>
      <w:r>
        <w:rPr>
          <w:rFonts w:hint="eastAsia" w:ascii="黑体" w:hAnsi="方正公文小标宋" w:eastAsia="黑体" w:cs="方正公文小标宋"/>
          <w:sz w:val="40"/>
          <w:szCs w:val="44"/>
          <w:lang w:eastAsia="zh-CN"/>
        </w:rPr>
        <w:t>校服采购</w:t>
      </w:r>
      <w:r>
        <w:rPr>
          <w:rFonts w:hint="eastAsia" w:ascii="黑体" w:hAnsi="方正公文小标宋" w:eastAsia="黑体" w:cs="方正公文小标宋"/>
          <w:sz w:val="40"/>
          <w:szCs w:val="44"/>
        </w:rPr>
        <w:t>工作方案</w:t>
      </w:r>
    </w:p>
    <w:p w14:paraId="38C73886">
      <w:pPr>
        <w:numPr>
          <w:ilvl w:val="0"/>
          <w:numId w:val="1"/>
        </w:numPr>
        <w:spacing w:before="200" w:after="100"/>
        <w:jc w:val="left"/>
        <w:outlineLvl w:val="0"/>
        <w:rPr>
          <w:rFonts w:hint="eastAsia" w:ascii="黑体" w:hAnsi="宋体" w:eastAsia="黑体" w:cs="宋体"/>
          <w:sz w:val="32"/>
        </w:rPr>
      </w:pPr>
      <w:r>
        <w:rPr>
          <w:rFonts w:hint="eastAsia" w:ascii="黑体" w:hAnsi="宋体" w:eastAsia="黑体" w:cs="宋体"/>
          <w:sz w:val="32"/>
        </w:rPr>
        <w:t>采购原则</w:t>
      </w:r>
    </w:p>
    <w:p w14:paraId="2FAE98EC">
      <w:pPr>
        <w:spacing w:line="380" w:lineRule="exact"/>
        <w:ind w:firstLine="480" w:firstLineChars="200"/>
        <w:rPr>
          <w:rFonts w:hint="eastAsia" w:ascii="仿宋" w:hAnsi="仿宋" w:eastAsia="仿宋"/>
          <w:sz w:val="24"/>
          <w:szCs w:val="28"/>
        </w:rPr>
      </w:pPr>
      <w:r>
        <w:rPr>
          <w:rFonts w:hint="eastAsia" w:ascii="仿宋" w:hAnsi="仿宋" w:eastAsia="仿宋"/>
          <w:sz w:val="24"/>
          <w:szCs w:val="28"/>
        </w:rPr>
        <w:t>为进一步加强我校校服管理，规范校服选用采购，提升学生归属感与校园文化认同，确保校服安全、舒适、实用且符合审美需求，保障广大中小学生健康成长。学校本着公开、公正、公平的原则，努力推动我校校服订购工作的落实，办让人民满意的教育。</w:t>
      </w:r>
    </w:p>
    <w:p w14:paraId="119C4B13">
      <w:pPr>
        <w:spacing w:before="200" w:after="100"/>
        <w:jc w:val="left"/>
        <w:outlineLvl w:val="0"/>
        <w:rPr>
          <w:rFonts w:hint="eastAsia" w:ascii="黑体" w:hAnsi="宋体" w:eastAsia="黑体" w:cs="宋体"/>
          <w:sz w:val="32"/>
        </w:rPr>
      </w:pPr>
      <w:r>
        <w:rPr>
          <w:rFonts w:hint="eastAsia" w:ascii="黑体" w:hAnsi="宋体" w:eastAsia="黑体" w:cs="宋体"/>
          <w:sz w:val="32"/>
        </w:rPr>
        <w:t>二、采购必要性：</w:t>
      </w:r>
    </w:p>
    <w:p w14:paraId="6B992EA8">
      <w:pPr>
        <w:spacing w:line="380" w:lineRule="exact"/>
        <w:ind w:firstLine="480" w:firstLineChars="200"/>
        <w:rPr>
          <w:rFonts w:hint="eastAsia" w:ascii="仿宋" w:hAnsi="仿宋" w:eastAsia="仿宋"/>
          <w:sz w:val="24"/>
          <w:szCs w:val="28"/>
        </w:rPr>
      </w:pPr>
      <w:r>
        <w:rPr>
          <w:rFonts w:hint="eastAsia" w:ascii="仿宋" w:hAnsi="仿宋" w:eastAsia="仿宋"/>
          <w:sz w:val="24"/>
          <w:szCs w:val="28"/>
        </w:rPr>
        <w:t>1.强化校园形象管理：统一校服是校园文化建设的重要组成部分，能够直观展现学校整体风貌，增强校园辨识度，同时培养学生的集体荣誉感与规则意识。</w:t>
      </w:r>
    </w:p>
    <w:p w14:paraId="6E9FD585">
      <w:pPr>
        <w:spacing w:line="380" w:lineRule="exact"/>
        <w:ind w:firstLine="480" w:firstLineChars="200"/>
        <w:rPr>
          <w:rFonts w:hint="eastAsia" w:ascii="仿宋" w:hAnsi="仿宋" w:eastAsia="仿宋"/>
          <w:sz w:val="24"/>
          <w:szCs w:val="28"/>
        </w:rPr>
      </w:pPr>
      <w:r>
        <w:rPr>
          <w:rFonts w:hint="eastAsia" w:ascii="仿宋" w:hAnsi="仿宋" w:eastAsia="仿宋"/>
          <w:sz w:val="24"/>
          <w:szCs w:val="28"/>
        </w:rPr>
        <w:t>2.保障穿着安全舒适：校服采购过程中严格把控服装材质与质量，确保校服符合安全标准，兼具舒适、实用、美观等特点，满足学生不同季节、不同场景的穿着需求。</w:t>
      </w:r>
    </w:p>
    <w:p w14:paraId="4416A10E">
      <w:pPr>
        <w:spacing w:before="200" w:after="100"/>
        <w:jc w:val="left"/>
        <w:outlineLvl w:val="0"/>
        <w:rPr>
          <w:rFonts w:ascii="黑体" w:hAnsi="宋体" w:eastAsia="黑体" w:cs="宋体"/>
          <w:sz w:val="32"/>
        </w:rPr>
      </w:pPr>
      <w:r>
        <w:rPr>
          <w:rFonts w:hint="eastAsia" w:ascii="黑体" w:hAnsi="宋体" w:eastAsia="黑体" w:cs="宋体"/>
          <w:sz w:val="32"/>
          <w:lang w:val="en-US" w:eastAsia="zh-CN"/>
        </w:rPr>
        <w:t>三、</w:t>
      </w:r>
      <w:r>
        <w:rPr>
          <w:rFonts w:hint="eastAsia" w:ascii="黑体" w:hAnsi="宋体" w:eastAsia="黑体" w:cs="宋体"/>
          <w:sz w:val="32"/>
        </w:rPr>
        <w:t>征求家长意向情况</w:t>
      </w:r>
    </w:p>
    <w:p w14:paraId="7BB19F34">
      <w:pPr>
        <w:spacing w:line="380" w:lineRule="exact"/>
        <w:ind w:firstLine="480" w:firstLineChars="200"/>
        <w:rPr>
          <w:rFonts w:hint="default" w:ascii="仿宋" w:hAnsi="仿宋" w:eastAsia="仿宋"/>
          <w:sz w:val="24"/>
          <w:szCs w:val="28"/>
          <w:lang w:val="en-US"/>
        </w:rPr>
      </w:pPr>
      <w:r>
        <w:rPr>
          <w:rFonts w:hint="eastAsia" w:ascii="仿宋" w:hAnsi="仿宋" w:eastAsia="仿宋"/>
          <w:sz w:val="24"/>
          <w:szCs w:val="28"/>
          <w:lang w:val="en-US" w:eastAsia="zh-CN"/>
        </w:rPr>
        <w:t>本校已于2026年7月25日-27日向一年级、四年级家长下发《校服选购意向调查表》征求校服选购意见，一年级发放问卷数648份，回收问卷数569份，家长同意数538份，同意率83.02%，同意率达到三分之二以上；四年级发放问卷数748份，回收问卷数747份，家长同意数502份，同意率67.11%，同意率达到三分之二以上。</w:t>
      </w:r>
    </w:p>
    <w:p w14:paraId="27BD168A">
      <w:pPr>
        <w:spacing w:before="200" w:after="100"/>
        <w:jc w:val="left"/>
        <w:outlineLvl w:val="0"/>
        <w:rPr>
          <w:rFonts w:hint="eastAsia" w:ascii="黑体" w:hAnsi="宋体" w:eastAsia="黑体" w:cs="宋体"/>
          <w:sz w:val="32"/>
        </w:rPr>
      </w:pPr>
      <w:r>
        <w:rPr>
          <w:rFonts w:hint="eastAsia" w:ascii="黑体" w:hAnsi="宋体" w:eastAsia="黑体" w:cs="宋体"/>
          <w:sz w:val="32"/>
        </w:rPr>
        <w:t>四、成立</w:t>
      </w:r>
      <w:r>
        <w:rPr>
          <w:rFonts w:hint="eastAsia" w:ascii="黑体" w:hAnsi="宋体" w:eastAsia="黑体" w:cs="宋体"/>
          <w:sz w:val="32"/>
          <w:lang w:val="en-US" w:eastAsia="zh-CN"/>
        </w:rPr>
        <w:t>多项</w:t>
      </w:r>
      <w:r>
        <w:rPr>
          <w:rFonts w:hint="eastAsia" w:ascii="黑体" w:hAnsi="宋体" w:eastAsia="黑体" w:cs="宋体"/>
          <w:sz w:val="32"/>
        </w:rPr>
        <w:t>校服工作小组</w:t>
      </w:r>
    </w:p>
    <w:p w14:paraId="1C166C0D">
      <w:pPr>
        <w:spacing w:line="380" w:lineRule="exact"/>
        <w:ind w:firstLine="480" w:firstLineChars="200"/>
        <w:rPr>
          <w:rFonts w:hint="eastAsia" w:ascii="仿宋" w:hAnsi="仿宋" w:eastAsia="仿宋"/>
          <w:sz w:val="24"/>
          <w:szCs w:val="28"/>
          <w:lang w:val="en-US" w:eastAsia="zh-CN"/>
        </w:rPr>
      </w:pPr>
      <w:r>
        <w:rPr>
          <w:rFonts w:hint="eastAsia" w:ascii="仿宋" w:hAnsi="仿宋" w:eastAsia="仿宋"/>
          <w:sz w:val="24"/>
          <w:szCs w:val="28"/>
          <w:lang w:val="en-US" w:eastAsia="zh-CN"/>
        </w:rPr>
        <w:t>为确保采购工作的顺利进行，成立由多方代表组成的校服选用工作小组，参与校服选用、采购、监督等工作。成员组成详见附表。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5"/>
        <w:gridCol w:w="6994"/>
      </w:tblGrid>
      <w:tr w14:paraId="5D25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1" w:hRule="atLeast"/>
        </w:trPr>
        <w:tc>
          <w:tcPr>
            <w:tcW w:w="1525" w:type="dxa"/>
            <w:vAlign w:val="center"/>
          </w:tcPr>
          <w:p w14:paraId="5C9CB308">
            <w:pPr>
              <w:jc w:val="center"/>
              <w:rPr>
                <w:rFonts w:hint="eastAsia" w:ascii="方正仿宋_GB2312" w:hAnsi="方正仿宋_GB2312" w:eastAsia="方正仿宋_GB2312" w:cs="方正仿宋_GB2312"/>
                <w:sz w:val="24"/>
                <w:highlight w:val="none"/>
              </w:rPr>
            </w:pPr>
            <w:r>
              <w:rPr>
                <w:rFonts w:hint="eastAsia" w:ascii="方正仿宋_GB2312" w:hAnsi="方正仿宋_GB2312" w:eastAsia="方正仿宋_GB2312" w:cs="方正仿宋_GB2312"/>
                <w:sz w:val="24"/>
                <w:highlight w:val="none"/>
                <w:lang w:val="en-US" w:eastAsia="zh-CN"/>
              </w:rPr>
              <w:t>校服选用小组</w:t>
            </w:r>
          </w:p>
        </w:tc>
        <w:tc>
          <w:tcPr>
            <w:tcW w:w="6994" w:type="dxa"/>
          </w:tcPr>
          <w:p w14:paraId="003D087B">
            <w:pPr>
              <w:jc w:val="left"/>
              <w:rPr>
                <w:rFonts w:hint="eastAsia"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学校行政：王育飞（副校长）</w:t>
            </w:r>
          </w:p>
          <w:p w14:paraId="365BC5C5">
            <w:pPr>
              <w:jc w:val="left"/>
              <w:rPr>
                <w:rFonts w:hint="eastAsia"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专  家：董 良（总务处副主任）</w:t>
            </w:r>
          </w:p>
          <w:p w14:paraId="60ADE0B3">
            <w:pPr>
              <w:jc w:val="left"/>
              <w:rPr>
                <w:rFonts w:hint="eastAsia"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家长代表：钟 赟、陈娟芳、李广芳、刘  听、侍  静</w:t>
            </w:r>
          </w:p>
          <w:p w14:paraId="10C62FC0">
            <w:pPr>
              <w:jc w:val="left"/>
              <w:rPr>
                <w:rFonts w:hint="eastAsia" w:ascii="方正仿宋_GB2312" w:hAnsi="方正仿宋_GB2312" w:eastAsia="方正仿宋_GB2312" w:cs="方正仿宋_GB2312"/>
                <w:sz w:val="24"/>
                <w:highlight w:val="none"/>
                <w:lang w:eastAsia="zh-CN"/>
              </w:rPr>
            </w:pPr>
            <w:r>
              <w:rPr>
                <w:rFonts w:hint="eastAsia" w:ascii="方正仿宋_GB2312" w:hAnsi="方正仿宋_GB2312" w:eastAsia="方正仿宋_GB2312" w:cs="方正仿宋_GB2312"/>
                <w:sz w:val="24"/>
                <w:highlight w:val="none"/>
                <w:lang w:val="en-US" w:eastAsia="zh-CN"/>
              </w:rPr>
              <w:t>学生代表：杨泽晨、解景焜、夏梓航、苏梓语</w:t>
            </w:r>
          </w:p>
        </w:tc>
      </w:tr>
      <w:tr w14:paraId="65AF9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525" w:type="dxa"/>
          </w:tcPr>
          <w:p w14:paraId="5934F2DF">
            <w:pPr>
              <w:jc w:val="left"/>
              <w:rPr>
                <w:rFonts w:ascii="方正仿宋_GB2312" w:hAnsi="方正仿宋_GB2312" w:eastAsia="方正仿宋_GB2312" w:cs="方正仿宋_GB2312"/>
                <w:sz w:val="24"/>
                <w:highlight w:val="none"/>
              </w:rPr>
            </w:pPr>
            <w:r>
              <w:rPr>
                <w:rFonts w:ascii="方正仿宋_GB2312" w:hAnsi="方正仿宋_GB2312" w:eastAsia="方正仿宋_GB2312" w:cs="方正仿宋_GB2312"/>
                <w:sz w:val="24"/>
                <w:highlight w:val="none"/>
              </w:rPr>
              <w:t>验收工作组</w:t>
            </w:r>
          </w:p>
        </w:tc>
        <w:tc>
          <w:tcPr>
            <w:tcW w:w="6994" w:type="dxa"/>
            <w:vAlign w:val="center"/>
          </w:tcPr>
          <w:p w14:paraId="2310D36C">
            <w:pPr>
              <w:jc w:val="left"/>
              <w:rPr>
                <w:rFonts w:hint="default" w:ascii="仿宋" w:hAnsi="仿宋" w:eastAsia="仿宋" w:cs="方正仿宋_GB2312"/>
                <w:sz w:val="24"/>
                <w:highlight w:val="none"/>
                <w:lang w:val="en-US" w:eastAsia="zh-CN"/>
              </w:rPr>
            </w:pPr>
            <w:r>
              <w:rPr>
                <w:rFonts w:hint="eastAsia" w:ascii="仿宋" w:hAnsi="仿宋" w:eastAsia="仿宋" w:cs="方正仿宋_GB2312"/>
                <w:sz w:val="24"/>
                <w:highlight w:val="none"/>
                <w:lang w:val="en-US" w:eastAsia="zh-CN"/>
              </w:rPr>
              <w:t xml:space="preserve"> 王育飞、董良、</w:t>
            </w:r>
            <w:r>
              <w:rPr>
                <w:rFonts w:hint="eastAsia" w:ascii="方正仿宋_GB2312" w:hAnsi="方正仿宋_GB2312" w:eastAsia="方正仿宋_GB2312" w:cs="方正仿宋_GB2312"/>
                <w:sz w:val="24"/>
                <w:highlight w:val="none"/>
                <w:lang w:val="en-US" w:eastAsia="zh-CN"/>
              </w:rPr>
              <w:t>钟赟、陈娟芳、李广芳</w:t>
            </w:r>
          </w:p>
        </w:tc>
      </w:tr>
      <w:tr w14:paraId="3886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525" w:type="dxa"/>
          </w:tcPr>
          <w:p w14:paraId="4F67E73F">
            <w:pPr>
              <w:jc w:val="left"/>
              <w:rPr>
                <w:rFonts w:hint="default"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监督工作组</w:t>
            </w:r>
          </w:p>
        </w:tc>
        <w:tc>
          <w:tcPr>
            <w:tcW w:w="6994" w:type="dxa"/>
            <w:vAlign w:val="center"/>
          </w:tcPr>
          <w:p w14:paraId="07F93909">
            <w:pPr>
              <w:jc w:val="left"/>
              <w:rPr>
                <w:rFonts w:hint="default" w:ascii="仿宋" w:hAnsi="仿宋" w:eastAsia="仿宋" w:cs="方正仿宋_GB2312"/>
                <w:sz w:val="24"/>
                <w:highlight w:val="none"/>
                <w:lang w:val="en-US" w:eastAsia="zh-CN"/>
              </w:rPr>
            </w:pPr>
            <w:r>
              <w:rPr>
                <w:rFonts w:hint="eastAsia" w:ascii="仿宋" w:hAnsi="仿宋" w:eastAsia="仿宋" w:cs="方正仿宋_GB2312"/>
                <w:sz w:val="24"/>
                <w:highlight w:val="none"/>
                <w:lang w:val="en-US" w:eastAsia="zh-CN"/>
              </w:rPr>
              <w:t>朱满喜、董良、陆吴珍</w:t>
            </w:r>
          </w:p>
        </w:tc>
      </w:tr>
    </w:tbl>
    <w:p w14:paraId="4DCD0710">
      <w:pPr>
        <w:spacing w:line="380" w:lineRule="exact"/>
        <w:ind w:firstLine="480" w:firstLineChars="200"/>
        <w:rPr>
          <w:rFonts w:hint="eastAsia" w:ascii="仿宋" w:hAnsi="仿宋" w:eastAsia="仿宋"/>
          <w:sz w:val="24"/>
          <w:szCs w:val="28"/>
          <w:lang w:val="en-US" w:eastAsia="zh-CN"/>
        </w:rPr>
      </w:pPr>
    </w:p>
    <w:p w14:paraId="7658DA3C">
      <w:pPr>
        <w:spacing w:before="200" w:after="100"/>
        <w:jc w:val="left"/>
        <w:outlineLvl w:val="0"/>
        <w:rPr>
          <w:rFonts w:ascii="黑体" w:hAnsi="宋体" w:eastAsia="黑体" w:cs="宋体"/>
          <w:sz w:val="32"/>
        </w:rPr>
      </w:pPr>
      <w:r>
        <w:rPr>
          <w:rFonts w:hint="eastAsia" w:ascii="黑体" w:hAnsi="宋体" w:eastAsia="黑体" w:cs="宋体"/>
          <w:sz w:val="32"/>
          <w:lang w:val="en-US" w:eastAsia="zh-CN"/>
        </w:rPr>
        <w:t>五、</w:t>
      </w:r>
      <w:r>
        <w:rPr>
          <w:rFonts w:hint="eastAsia" w:ascii="黑体" w:hAnsi="宋体" w:eastAsia="黑体" w:cs="宋体"/>
          <w:sz w:val="32"/>
        </w:rPr>
        <w:t>采购内容与标准</w:t>
      </w:r>
    </w:p>
    <w:p w14:paraId="31B1A7CD">
      <w:pPr>
        <w:spacing w:before="200" w:after="100"/>
        <w:jc w:val="left"/>
        <w:outlineLvl w:val="1"/>
        <w:rPr>
          <w:rFonts w:hint="eastAsia" w:ascii="仿宋" w:hAnsi="宋体" w:eastAsia="仿宋" w:cs="宋体"/>
          <w:sz w:val="24"/>
          <w:highlight w:val="none"/>
        </w:rPr>
      </w:pPr>
      <w:r>
        <w:rPr>
          <w:rFonts w:hint="eastAsia" w:ascii="楷体" w:hAnsi="宋体" w:eastAsia="楷体" w:cs="宋体"/>
          <w:sz w:val="32"/>
        </w:rPr>
        <w:t>（一）校服种类与数量</w:t>
      </w:r>
    </w:p>
    <w:p w14:paraId="13816D59">
      <w:pPr>
        <w:spacing w:line="560" w:lineRule="exact"/>
        <w:ind w:firstLine="482"/>
        <w:jc w:val="left"/>
        <w:rPr>
          <w:rFonts w:hint="default" w:ascii="仿宋" w:hAnsi="宋体" w:eastAsia="仿宋" w:cs="宋体"/>
          <w:sz w:val="24"/>
          <w:highlight w:val="none"/>
          <w:lang w:val="en-US" w:eastAsia="zh-CN"/>
        </w:rPr>
      </w:pPr>
      <w:r>
        <w:rPr>
          <w:rFonts w:hint="eastAsia" w:ascii="仿宋" w:hAnsi="宋体" w:eastAsia="仿宋" w:cs="宋体"/>
          <w:sz w:val="24"/>
          <w:highlight w:val="none"/>
        </w:rPr>
        <w:t>1. 校服种类：涵盖夏季、春秋季、冬季全季节着装，具体包括</w:t>
      </w:r>
      <w:r>
        <w:rPr>
          <w:rFonts w:hint="eastAsia" w:ascii="仿宋" w:hAnsi="宋体" w:eastAsia="仿宋" w:cs="宋体"/>
          <w:sz w:val="24"/>
          <w:highlight w:val="none"/>
          <w:lang w:val="en-US" w:eastAsia="zh-CN"/>
        </w:rPr>
        <w:t>短袖T恤（夏装），男短裤/女短裙（夏装），运动上衣（春秋装），运动长裤（春秋装），冬季外衣（冬装），冬季内胆（冬装）。</w:t>
      </w:r>
    </w:p>
    <w:p w14:paraId="1149C325">
      <w:pPr>
        <w:spacing w:line="560" w:lineRule="exact"/>
        <w:ind w:firstLine="480" w:firstLineChars="200"/>
        <w:jc w:val="left"/>
        <w:rPr>
          <w:rFonts w:hint="eastAsia" w:ascii="仿宋" w:hAnsi="宋体" w:eastAsia="仿宋" w:cs="宋体"/>
          <w:sz w:val="24"/>
        </w:rPr>
      </w:pPr>
      <w:r>
        <w:rPr>
          <w:rFonts w:hint="eastAsia" w:ascii="仿宋" w:hAnsi="宋体" w:eastAsia="仿宋" w:cs="宋体"/>
          <w:sz w:val="24"/>
        </w:rPr>
        <w:t>2.数量要求</w:t>
      </w:r>
      <w:r>
        <w:rPr>
          <w:rFonts w:hint="eastAsia" w:ascii="仿宋" w:hAnsi="宋体" w:eastAsia="仿宋" w:cs="宋体"/>
          <w:sz w:val="24"/>
          <w:lang w:eastAsia="zh-CN"/>
        </w:rPr>
        <w:t>：</w:t>
      </w:r>
      <w:r>
        <w:rPr>
          <w:rFonts w:hint="eastAsia" w:ascii="仿宋" w:hAnsi="宋体" w:eastAsia="仿宋" w:cs="宋体"/>
          <w:sz w:val="24"/>
          <w:highlight w:val="none"/>
        </w:rPr>
        <w:t>每位学生配备夏装</w:t>
      </w:r>
      <w:r>
        <w:rPr>
          <w:rFonts w:ascii="仿宋" w:hAnsi="宋体" w:eastAsia="仿宋" w:cs="宋体"/>
          <w:sz w:val="24"/>
          <w:highlight w:val="none"/>
        </w:rPr>
        <w:t>1</w:t>
      </w:r>
      <w:r>
        <w:rPr>
          <w:rFonts w:hint="eastAsia" w:ascii="仿宋" w:hAnsi="宋体" w:eastAsia="仿宋" w:cs="宋体"/>
          <w:sz w:val="24"/>
          <w:highlight w:val="none"/>
        </w:rPr>
        <w:t>套（含短袖T恤</w:t>
      </w:r>
      <w:r>
        <w:rPr>
          <w:rFonts w:hint="eastAsia" w:ascii="仿宋" w:hAnsi="宋体" w:eastAsia="仿宋" w:cs="宋体"/>
          <w:sz w:val="24"/>
          <w:highlight w:val="none"/>
          <w:lang w:eastAsia="zh-CN"/>
        </w:rPr>
        <w:t>（</w:t>
      </w:r>
      <w:r>
        <w:rPr>
          <w:rFonts w:hint="eastAsia" w:ascii="仿宋" w:hAnsi="宋体" w:eastAsia="仿宋" w:cs="宋体"/>
          <w:sz w:val="24"/>
          <w:highlight w:val="none"/>
          <w:lang w:val="en-US" w:eastAsia="zh-CN"/>
        </w:rPr>
        <w:t>夏装</w:t>
      </w:r>
      <w:r>
        <w:rPr>
          <w:rFonts w:hint="eastAsia" w:ascii="仿宋" w:hAnsi="宋体" w:eastAsia="仿宋" w:cs="宋体"/>
          <w:sz w:val="24"/>
          <w:highlight w:val="none"/>
          <w:lang w:eastAsia="zh-CN"/>
        </w:rPr>
        <w:t>）</w:t>
      </w:r>
      <w:r>
        <w:rPr>
          <w:rFonts w:hint="eastAsia" w:ascii="仿宋" w:hAnsi="宋体" w:eastAsia="仿宋" w:cs="宋体"/>
          <w:sz w:val="24"/>
          <w:highlight w:val="none"/>
        </w:rPr>
        <w:t>1件、</w:t>
      </w:r>
      <w:r>
        <w:rPr>
          <w:rFonts w:hint="eastAsia" w:ascii="仿宋" w:hAnsi="宋体" w:eastAsia="仿宋" w:cs="宋体"/>
          <w:sz w:val="24"/>
          <w:highlight w:val="none"/>
          <w:lang w:val="en-US" w:eastAsia="zh-CN"/>
        </w:rPr>
        <w:t>男短裤、女短裙（夏装）1件）</w:t>
      </w:r>
      <w:r>
        <w:rPr>
          <w:rFonts w:hint="eastAsia" w:ascii="仿宋" w:hAnsi="宋体" w:eastAsia="仿宋" w:cs="宋体"/>
          <w:sz w:val="24"/>
          <w:highlight w:val="none"/>
        </w:rPr>
        <w:t>、春秋装1套（含运动上衣</w:t>
      </w:r>
      <w:r>
        <w:rPr>
          <w:rFonts w:hint="eastAsia" w:ascii="仿宋" w:hAnsi="宋体" w:eastAsia="仿宋" w:cs="宋体"/>
          <w:sz w:val="24"/>
          <w:highlight w:val="none"/>
          <w:lang w:eastAsia="zh-CN"/>
        </w:rPr>
        <w:t>（</w:t>
      </w:r>
      <w:r>
        <w:rPr>
          <w:rFonts w:hint="eastAsia" w:ascii="仿宋" w:hAnsi="宋体" w:eastAsia="仿宋" w:cs="宋体"/>
          <w:sz w:val="24"/>
          <w:highlight w:val="none"/>
          <w:lang w:val="en-US" w:eastAsia="zh-CN"/>
        </w:rPr>
        <w:t>春秋装</w:t>
      </w:r>
      <w:r>
        <w:rPr>
          <w:rFonts w:hint="eastAsia" w:ascii="仿宋" w:hAnsi="宋体" w:eastAsia="仿宋" w:cs="宋体"/>
          <w:sz w:val="24"/>
          <w:highlight w:val="none"/>
          <w:lang w:eastAsia="zh-CN"/>
        </w:rPr>
        <w:t>）</w:t>
      </w:r>
      <w:r>
        <w:rPr>
          <w:rFonts w:hint="eastAsia" w:ascii="仿宋" w:hAnsi="宋体" w:eastAsia="仿宋" w:cs="宋体"/>
          <w:sz w:val="24"/>
          <w:highlight w:val="none"/>
        </w:rPr>
        <w:t>1件、运动</w:t>
      </w:r>
      <w:r>
        <w:rPr>
          <w:rFonts w:hint="eastAsia" w:ascii="仿宋" w:hAnsi="宋体" w:eastAsia="仿宋" w:cs="宋体"/>
          <w:sz w:val="24"/>
          <w:highlight w:val="none"/>
          <w:lang w:val="en-US" w:eastAsia="zh-CN"/>
        </w:rPr>
        <w:t>长裤</w:t>
      </w:r>
      <w:r>
        <w:rPr>
          <w:rFonts w:hint="eastAsia" w:ascii="仿宋" w:hAnsi="宋体" w:eastAsia="仿宋" w:cs="宋体"/>
          <w:sz w:val="24"/>
          <w:highlight w:val="none"/>
          <w:lang w:eastAsia="zh-CN"/>
        </w:rPr>
        <w:t>（</w:t>
      </w:r>
      <w:r>
        <w:rPr>
          <w:rFonts w:hint="eastAsia" w:ascii="仿宋" w:hAnsi="宋体" w:eastAsia="仿宋" w:cs="宋体"/>
          <w:sz w:val="24"/>
          <w:highlight w:val="none"/>
          <w:lang w:val="en-US" w:eastAsia="zh-CN"/>
        </w:rPr>
        <w:t>春秋装</w:t>
      </w:r>
      <w:r>
        <w:rPr>
          <w:rFonts w:hint="eastAsia" w:ascii="仿宋" w:hAnsi="宋体" w:eastAsia="仿宋" w:cs="宋体"/>
          <w:sz w:val="24"/>
          <w:highlight w:val="none"/>
          <w:lang w:eastAsia="zh-CN"/>
        </w:rPr>
        <w:t>）</w:t>
      </w:r>
      <w:r>
        <w:rPr>
          <w:rFonts w:hint="eastAsia" w:ascii="仿宋" w:hAnsi="宋体" w:eastAsia="仿宋" w:cs="宋体"/>
          <w:sz w:val="24"/>
          <w:highlight w:val="none"/>
        </w:rPr>
        <w:t>1件）、冬装1套（含</w:t>
      </w:r>
      <w:r>
        <w:rPr>
          <w:rFonts w:hint="eastAsia" w:ascii="仿宋" w:hAnsi="宋体" w:eastAsia="仿宋" w:cs="宋体"/>
          <w:sz w:val="24"/>
          <w:highlight w:val="none"/>
          <w:lang w:val="en-US" w:eastAsia="zh-CN"/>
        </w:rPr>
        <w:t>冬季外衣（冬装）</w:t>
      </w:r>
      <w:r>
        <w:rPr>
          <w:rFonts w:hint="eastAsia" w:ascii="仿宋" w:hAnsi="宋体" w:eastAsia="仿宋" w:cs="宋体"/>
          <w:sz w:val="24"/>
          <w:highlight w:val="none"/>
        </w:rPr>
        <w:t>1件</w:t>
      </w:r>
      <w:r>
        <w:rPr>
          <w:rFonts w:hint="eastAsia" w:ascii="仿宋" w:hAnsi="宋体" w:eastAsia="仿宋" w:cs="宋体"/>
          <w:sz w:val="24"/>
          <w:highlight w:val="none"/>
          <w:lang w:eastAsia="zh-CN"/>
        </w:rPr>
        <w:t>、</w:t>
      </w:r>
      <w:r>
        <w:rPr>
          <w:rFonts w:hint="eastAsia" w:ascii="仿宋" w:hAnsi="宋体" w:eastAsia="仿宋" w:cs="宋体"/>
          <w:sz w:val="24"/>
          <w:highlight w:val="none"/>
          <w:lang w:val="en-US" w:eastAsia="zh-CN"/>
        </w:rPr>
        <w:t>冬季内胆（冬装）1件</w:t>
      </w:r>
      <w:r>
        <w:rPr>
          <w:rFonts w:hint="eastAsia" w:ascii="仿宋" w:hAnsi="宋体" w:eastAsia="仿宋" w:cs="宋体"/>
          <w:sz w:val="24"/>
          <w:highlight w:val="none"/>
        </w:rPr>
        <w:t>），</w:t>
      </w:r>
      <w:r>
        <w:rPr>
          <w:rFonts w:hint="eastAsia" w:ascii="仿宋" w:hAnsi="宋体" w:eastAsia="仿宋" w:cs="宋体"/>
          <w:sz w:val="24"/>
        </w:rPr>
        <w:t>最终按实际购买数量结算。</w:t>
      </w:r>
    </w:p>
    <w:p w14:paraId="76E5E945">
      <w:pPr>
        <w:spacing w:before="200" w:after="100"/>
        <w:jc w:val="left"/>
        <w:outlineLvl w:val="1"/>
        <w:rPr>
          <w:rFonts w:hint="default" w:ascii="仿宋" w:hAnsi="宋体" w:eastAsia="楷体" w:cs="宋体"/>
          <w:sz w:val="24"/>
          <w:lang w:val="en-US" w:eastAsia="zh-CN"/>
        </w:rPr>
      </w:pPr>
      <w:r>
        <w:rPr>
          <w:rFonts w:hint="eastAsia" w:ascii="楷体" w:hAnsi="宋体" w:eastAsia="楷体" w:cs="宋体"/>
          <w:sz w:val="32"/>
        </w:rPr>
        <w:t>（二）设计</w:t>
      </w:r>
      <w:r>
        <w:rPr>
          <w:rFonts w:hint="eastAsia" w:ascii="楷体" w:hAnsi="宋体" w:eastAsia="楷体" w:cs="宋体"/>
          <w:sz w:val="32"/>
          <w:lang w:val="en-US" w:eastAsia="zh-CN"/>
        </w:rPr>
        <w:t>与样式</w:t>
      </w:r>
    </w:p>
    <w:p w14:paraId="509C711E">
      <w:pPr>
        <w:spacing w:line="560" w:lineRule="exact"/>
        <w:ind w:firstLine="482"/>
        <w:jc w:val="left"/>
        <w:rPr>
          <w:rFonts w:hint="eastAsia" w:ascii="仿宋" w:hAnsi="宋体" w:eastAsia="仿宋" w:cs="宋体"/>
          <w:sz w:val="24"/>
        </w:rPr>
      </w:pPr>
      <w:r>
        <w:rPr>
          <w:rFonts w:hint="eastAsia" w:ascii="仿宋" w:hAnsi="宋体" w:eastAsia="仿宋" w:cs="宋体"/>
          <w:sz w:val="24"/>
        </w:rPr>
        <w:t>设计与样式</w:t>
      </w:r>
      <w:r>
        <w:rPr>
          <w:rFonts w:hint="eastAsia" w:ascii="仿宋" w:hAnsi="宋体" w:eastAsia="仿宋" w:cs="宋体"/>
          <w:sz w:val="24"/>
          <w:lang w:eastAsia="zh-CN"/>
        </w:rPr>
        <w:t>：</w:t>
      </w:r>
      <w:r>
        <w:rPr>
          <w:rFonts w:hint="eastAsia" w:ascii="仿宋" w:hAnsi="宋体" w:eastAsia="仿宋" w:cs="宋体"/>
          <w:sz w:val="24"/>
        </w:rPr>
        <w:t>为保持校园文化的连贯性与统一性，本次采购校服将完全沿用学校原有款式，不做调整。校服颜色、版型、校徽印制位置等均按照原有样式执行，校服质量标准要和原有校服一致或高于原来标准，确保新生校服与原有在校学生的校服保持一致。</w:t>
      </w:r>
    </w:p>
    <w:p w14:paraId="75BEC3CA">
      <w:pPr>
        <w:numPr>
          <w:ilvl w:val="0"/>
          <w:numId w:val="2"/>
        </w:numPr>
        <w:spacing w:before="200" w:after="100"/>
        <w:jc w:val="left"/>
        <w:outlineLvl w:val="1"/>
        <w:rPr>
          <w:rFonts w:hint="eastAsia" w:ascii="楷体" w:hAnsi="宋体" w:eastAsia="楷体" w:cs="宋体"/>
          <w:sz w:val="32"/>
        </w:rPr>
      </w:pPr>
      <w:r>
        <w:rPr>
          <w:rFonts w:hint="eastAsia" w:ascii="楷体" w:hAnsi="宋体" w:eastAsia="楷体" w:cs="宋体"/>
          <w:sz w:val="32"/>
        </w:rPr>
        <w:t>材质与安全标准</w:t>
      </w:r>
    </w:p>
    <w:p w14:paraId="03E4F1D0">
      <w:pPr>
        <w:spacing w:line="560" w:lineRule="exact"/>
        <w:jc w:val="left"/>
        <w:rPr>
          <w:rFonts w:hint="eastAsia" w:ascii="仿宋" w:hAnsi="宋体" w:eastAsia="仿宋" w:cs="宋体"/>
          <w:sz w:val="24"/>
        </w:rPr>
      </w:pPr>
      <w:r>
        <w:rPr>
          <w:rFonts w:hint="eastAsia" w:ascii="仿宋" w:hAnsi="宋体" w:eastAsia="仿宋" w:cs="宋体"/>
          <w:sz w:val="24"/>
        </w:rPr>
        <w:t>（1）面料、款式要求：</w:t>
      </w:r>
    </w:p>
    <w:tbl>
      <w:tblPr>
        <w:tblStyle w:val="3"/>
        <w:tblW w:w="7708" w:type="dxa"/>
        <w:tblInd w:w="91" w:type="dxa"/>
        <w:tblLayout w:type="fixed"/>
        <w:tblCellMar>
          <w:top w:w="0" w:type="dxa"/>
          <w:left w:w="108" w:type="dxa"/>
          <w:bottom w:w="0" w:type="dxa"/>
          <w:right w:w="108" w:type="dxa"/>
        </w:tblCellMar>
      </w:tblPr>
      <w:tblGrid>
        <w:gridCol w:w="868"/>
        <w:gridCol w:w="2520"/>
        <w:gridCol w:w="1260"/>
        <w:gridCol w:w="3060"/>
      </w:tblGrid>
      <w:tr w14:paraId="281E16D7">
        <w:tblPrEx>
          <w:tblCellMar>
            <w:top w:w="0" w:type="dxa"/>
            <w:left w:w="108" w:type="dxa"/>
            <w:bottom w:w="0" w:type="dxa"/>
            <w:right w:w="108" w:type="dxa"/>
          </w:tblCellMar>
        </w:tblPrEx>
        <w:trPr>
          <w:trHeight w:val="545"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5EBCC">
            <w:pPr>
              <w:widowControl/>
              <w:jc w:val="center"/>
              <w:textAlignment w:val="center"/>
              <w:rPr>
                <w:rFonts w:ascii="宋体" w:hAnsi="宋体" w:cs="宋体"/>
                <w:color w:val="auto"/>
                <w:szCs w:val="21"/>
                <w:highlight w:val="none"/>
              </w:rPr>
            </w:pPr>
            <w:r>
              <w:rPr>
                <w:rFonts w:ascii="宋体" w:hAnsi="宋体" w:cs="宋体"/>
                <w:color w:val="auto"/>
                <w:kern w:val="0"/>
                <w:szCs w:val="21"/>
                <w:highlight w:val="none"/>
                <w:lang w:bidi="ar"/>
              </w:rPr>
              <w:t>序号</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A1FDE">
            <w:pPr>
              <w:widowControl/>
              <w:jc w:val="center"/>
              <w:textAlignment w:val="center"/>
              <w:rPr>
                <w:rFonts w:ascii="宋体" w:hAnsi="宋体" w:cs="宋体"/>
                <w:color w:val="auto"/>
                <w:szCs w:val="21"/>
                <w:highlight w:val="none"/>
              </w:rPr>
            </w:pPr>
            <w:r>
              <w:rPr>
                <w:rFonts w:ascii="宋体" w:hAnsi="宋体" w:cs="宋体"/>
                <w:color w:val="auto"/>
                <w:kern w:val="0"/>
                <w:szCs w:val="21"/>
                <w:highlight w:val="none"/>
                <w:lang w:bidi="ar"/>
              </w:rPr>
              <w:t>产品名称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333D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款式图</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AC4C">
            <w:pPr>
              <w:widowControl/>
              <w:jc w:val="center"/>
              <w:textAlignment w:val="center"/>
              <w:rPr>
                <w:rFonts w:ascii="宋体" w:hAnsi="宋体" w:cs="宋体"/>
                <w:color w:val="auto"/>
                <w:szCs w:val="21"/>
                <w:highlight w:val="none"/>
              </w:rPr>
            </w:pPr>
            <w:r>
              <w:rPr>
                <w:rFonts w:ascii="宋体" w:hAnsi="宋体" w:cs="宋体"/>
                <w:color w:val="auto"/>
                <w:kern w:val="0"/>
                <w:szCs w:val="21"/>
                <w:highlight w:val="none"/>
                <w:lang w:bidi="ar"/>
              </w:rPr>
              <w:t>品牌、规格、材质</w:t>
            </w:r>
          </w:p>
        </w:tc>
      </w:tr>
      <w:tr w14:paraId="44DEDE0D">
        <w:tblPrEx>
          <w:tblCellMar>
            <w:top w:w="0" w:type="dxa"/>
            <w:left w:w="108" w:type="dxa"/>
            <w:bottom w:w="0" w:type="dxa"/>
            <w:right w:w="108" w:type="dxa"/>
          </w:tblCellMar>
        </w:tblPrEx>
        <w:trPr>
          <w:trHeight w:val="1256"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C4907">
            <w:pPr>
              <w:widowControl/>
              <w:jc w:val="center"/>
              <w:textAlignment w:val="center"/>
              <w:rPr>
                <w:rFonts w:ascii="宋体" w:hAnsi="宋体" w:cs="宋体"/>
                <w:color w:val="auto"/>
                <w:szCs w:val="21"/>
                <w:highlight w:val="none"/>
              </w:rPr>
            </w:pPr>
            <w:r>
              <w:rPr>
                <w:rFonts w:ascii="宋体" w:hAnsi="宋体" w:cs="宋体"/>
                <w:color w:val="auto"/>
                <w:kern w:val="0"/>
                <w:szCs w:val="21"/>
                <w:highlight w:val="none"/>
                <w:lang w:bidi="ar"/>
              </w:rPr>
              <w:t xml:space="preserve">1 </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AA2E">
            <w:pPr>
              <w:widowControl/>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eastAsia="zh-CN" w:bidi="ar"/>
              </w:rPr>
              <w:t>短袖T恤</w:t>
            </w:r>
          </w:p>
          <w:p w14:paraId="36C459EB">
            <w:pPr>
              <w:widowControl/>
              <w:jc w:val="center"/>
              <w:textAlignment w:val="center"/>
              <w:rPr>
                <w:rFonts w:ascii="宋体" w:hAnsi="宋体" w:cs="宋体"/>
                <w:color w:val="auto"/>
                <w:szCs w:val="21"/>
                <w:highlight w:val="none"/>
              </w:rPr>
            </w:pPr>
            <w:r>
              <w:rPr>
                <w:rFonts w:ascii="宋体" w:hAnsi="宋体" w:cs="宋体"/>
                <w:color w:val="auto"/>
                <w:kern w:val="0"/>
                <w:szCs w:val="21"/>
                <w:highlight w:val="none"/>
                <w:lang w:bidi="ar"/>
              </w:rPr>
              <w:t>(夏装)</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77DF">
            <w:pPr>
              <w:widowControl/>
              <w:jc w:val="center"/>
              <w:textAlignment w:val="center"/>
              <w:rPr>
                <w:rFonts w:ascii="Arial" w:hAnsi="Arial" w:cs="Arial"/>
                <w:color w:val="auto"/>
                <w:szCs w:val="21"/>
                <w:highlight w:val="none"/>
              </w:rPr>
            </w:pPr>
            <w:r>
              <w:drawing>
                <wp:inline distT="0" distB="0" distL="114300" distR="114300">
                  <wp:extent cx="704850" cy="752475"/>
                  <wp:effectExtent l="0" t="0" r="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704850" cy="752475"/>
                          </a:xfrm>
                          <a:prstGeom prst="rect">
                            <a:avLst/>
                          </a:prstGeom>
                          <a:noFill/>
                          <a:ln>
                            <a:noFill/>
                          </a:ln>
                        </pic:spPr>
                      </pic:pic>
                    </a:graphicData>
                  </a:graphic>
                </wp:inline>
              </w:drawing>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3730C">
            <w:pPr>
              <w:widowControl/>
              <w:textAlignment w:val="center"/>
              <w:rPr>
                <w:rFonts w:ascii="宋体" w:hAnsi="宋体" w:cs="宋体"/>
                <w:color w:val="auto"/>
                <w:szCs w:val="21"/>
                <w:highlight w:val="none"/>
              </w:rPr>
            </w:pPr>
            <w:r>
              <w:rPr>
                <w:rFonts w:ascii="宋体" w:hAnsi="宋体" w:cs="宋体"/>
                <w:color w:val="auto"/>
                <w:kern w:val="0"/>
                <w:szCs w:val="21"/>
                <w:highlight w:val="none"/>
                <w:lang w:bidi="ar"/>
              </w:rPr>
              <w:t>成份比例：6</w:t>
            </w:r>
            <w:r>
              <w:rPr>
                <w:rFonts w:hint="eastAsia" w:ascii="宋体" w:hAnsi="宋体" w:cs="宋体"/>
                <w:color w:val="auto"/>
                <w:kern w:val="0"/>
                <w:szCs w:val="21"/>
                <w:highlight w:val="none"/>
                <w:lang w:bidi="ar"/>
              </w:rPr>
              <w:t>0</w:t>
            </w:r>
            <w:r>
              <w:rPr>
                <w:rFonts w:ascii="宋体" w:hAnsi="宋体" w:cs="宋体"/>
                <w:color w:val="auto"/>
                <w:kern w:val="0"/>
                <w:szCs w:val="21"/>
                <w:highlight w:val="none"/>
                <w:lang w:bidi="ar"/>
              </w:rPr>
              <w:t>%棉</w:t>
            </w:r>
            <w:r>
              <w:rPr>
                <w:rFonts w:hint="eastAsia" w:ascii="宋体" w:hAnsi="宋体" w:cs="宋体"/>
                <w:color w:val="auto"/>
                <w:kern w:val="0"/>
                <w:szCs w:val="21"/>
                <w:highlight w:val="none"/>
                <w:lang w:bidi="ar"/>
              </w:rPr>
              <w:t>40</w:t>
            </w:r>
            <w:r>
              <w:rPr>
                <w:rFonts w:ascii="宋体" w:hAnsi="宋体" w:cs="宋体"/>
                <w:color w:val="auto"/>
                <w:kern w:val="0"/>
                <w:szCs w:val="21"/>
                <w:highlight w:val="none"/>
                <w:lang w:bidi="ar"/>
              </w:rPr>
              <w:t>%聚酯纤维</w:t>
            </w:r>
          </w:p>
        </w:tc>
      </w:tr>
      <w:tr w14:paraId="1C6350B8">
        <w:tblPrEx>
          <w:tblCellMar>
            <w:top w:w="0" w:type="dxa"/>
            <w:left w:w="108" w:type="dxa"/>
            <w:bottom w:w="0" w:type="dxa"/>
            <w:right w:w="108" w:type="dxa"/>
          </w:tblCellMar>
        </w:tblPrEx>
        <w:trPr>
          <w:trHeight w:val="2131" w:hRule="atLeast"/>
        </w:trPr>
        <w:tc>
          <w:tcPr>
            <w:tcW w:w="868" w:type="dxa"/>
            <w:tcBorders>
              <w:top w:val="single" w:color="000000" w:sz="4" w:space="0"/>
              <w:left w:val="single" w:color="000000" w:sz="4" w:space="0"/>
              <w:right w:val="single" w:color="000000" w:sz="4" w:space="0"/>
            </w:tcBorders>
            <w:shd w:val="clear" w:color="auto" w:fill="auto"/>
            <w:vAlign w:val="center"/>
          </w:tcPr>
          <w:p w14:paraId="780DD247">
            <w:pPr>
              <w:widowControl/>
              <w:jc w:val="center"/>
              <w:textAlignment w:val="center"/>
              <w:rPr>
                <w:rFonts w:ascii="宋体" w:hAnsi="宋体" w:cs="宋体"/>
                <w:color w:val="auto"/>
                <w:kern w:val="0"/>
                <w:szCs w:val="21"/>
                <w:highlight w:val="none"/>
                <w:lang w:bidi="ar"/>
              </w:rPr>
            </w:pPr>
            <w:r>
              <w:rPr>
                <w:rFonts w:ascii="宋体" w:hAnsi="宋体" w:cs="宋体"/>
                <w:color w:val="auto"/>
                <w:kern w:val="0"/>
                <w:szCs w:val="21"/>
                <w:highlight w:val="none"/>
                <w:lang w:bidi="ar"/>
              </w:rPr>
              <w:t xml:space="preserve">2 </w:t>
            </w:r>
          </w:p>
          <w:p w14:paraId="682513C0">
            <w:pPr>
              <w:widowControl/>
              <w:jc w:val="center"/>
              <w:textAlignment w:val="center"/>
              <w:rPr>
                <w:rFonts w:ascii="宋体" w:hAnsi="宋体" w:cs="宋体"/>
                <w:color w:val="auto"/>
                <w:kern w:val="0"/>
                <w:szCs w:val="21"/>
                <w:highlight w:val="none"/>
                <w:lang w:bidi="ar"/>
              </w:rPr>
            </w:pPr>
          </w:p>
        </w:tc>
        <w:tc>
          <w:tcPr>
            <w:tcW w:w="2520" w:type="dxa"/>
            <w:tcBorders>
              <w:top w:val="single" w:color="000000" w:sz="4" w:space="0"/>
              <w:left w:val="single" w:color="000000" w:sz="4" w:space="0"/>
              <w:right w:val="single" w:color="000000" w:sz="4" w:space="0"/>
            </w:tcBorders>
            <w:shd w:val="clear" w:color="auto" w:fill="auto"/>
            <w:vAlign w:val="center"/>
          </w:tcPr>
          <w:p w14:paraId="38E4BD0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男短裤/女短裙</w:t>
            </w:r>
          </w:p>
          <w:p w14:paraId="6BAA28C6">
            <w:pPr>
              <w:widowControl/>
              <w:jc w:val="center"/>
              <w:textAlignment w:val="center"/>
              <w:rPr>
                <w:rFonts w:hint="eastAsia" w:ascii="宋体" w:hAnsi="宋体" w:cs="宋体" w:eastAsiaTheme="minorEastAsia"/>
                <w:color w:val="auto"/>
                <w:kern w:val="0"/>
                <w:szCs w:val="21"/>
                <w:highlight w:val="none"/>
                <w:lang w:eastAsia="zh-CN" w:bidi="ar"/>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夏装</w:t>
            </w:r>
            <w:r>
              <w:rPr>
                <w:rFonts w:hint="eastAsia" w:ascii="宋体" w:hAnsi="宋体" w:cs="宋体"/>
                <w:color w:val="auto"/>
                <w:kern w:val="0"/>
                <w:szCs w:val="21"/>
                <w:highlight w:val="none"/>
                <w:lang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228ED">
            <w:pPr>
              <w:widowControl/>
              <w:jc w:val="center"/>
              <w:textAlignment w:val="center"/>
              <w:rPr>
                <w:color w:val="auto"/>
                <w:highlight w:val="none"/>
              </w:rPr>
            </w:pPr>
            <w:r>
              <w:drawing>
                <wp:inline distT="0" distB="0" distL="114300" distR="114300">
                  <wp:extent cx="476250" cy="590550"/>
                  <wp:effectExtent l="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476250" cy="590550"/>
                          </a:xfrm>
                          <a:prstGeom prst="rect">
                            <a:avLst/>
                          </a:prstGeom>
                          <a:noFill/>
                          <a:ln>
                            <a:noFill/>
                          </a:ln>
                        </pic:spPr>
                      </pic:pic>
                    </a:graphicData>
                  </a:graphic>
                </wp:inline>
              </w:drawing>
            </w:r>
          </w:p>
          <w:p w14:paraId="21FD3097">
            <w:pPr>
              <w:widowControl/>
              <w:jc w:val="center"/>
              <w:textAlignment w:val="center"/>
              <w:rPr>
                <w:color w:val="auto"/>
                <w:highlight w:val="none"/>
              </w:rPr>
            </w:pPr>
            <w:r>
              <w:drawing>
                <wp:inline distT="0" distB="0" distL="114300" distR="114300">
                  <wp:extent cx="514350" cy="476250"/>
                  <wp:effectExtent l="0" t="0" r="0"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6"/>
                          <a:stretch>
                            <a:fillRect/>
                          </a:stretch>
                        </pic:blipFill>
                        <pic:spPr>
                          <a:xfrm>
                            <a:off x="0" y="0"/>
                            <a:ext cx="514350" cy="476250"/>
                          </a:xfrm>
                          <a:prstGeom prst="rect">
                            <a:avLst/>
                          </a:prstGeom>
                          <a:noFill/>
                          <a:ln>
                            <a:noFill/>
                          </a:ln>
                        </pic:spPr>
                      </pic:pic>
                    </a:graphicData>
                  </a:graphic>
                </wp:inline>
              </w:drawing>
            </w:r>
          </w:p>
        </w:tc>
        <w:tc>
          <w:tcPr>
            <w:tcW w:w="3060" w:type="dxa"/>
            <w:tcBorders>
              <w:top w:val="single" w:color="000000" w:sz="4" w:space="0"/>
              <w:left w:val="single" w:color="000000" w:sz="4" w:space="0"/>
              <w:right w:val="single" w:color="000000" w:sz="4" w:space="0"/>
            </w:tcBorders>
            <w:shd w:val="clear" w:color="auto" w:fill="auto"/>
            <w:vAlign w:val="center"/>
          </w:tcPr>
          <w:p w14:paraId="3A97660F">
            <w:pPr>
              <w:widowControl/>
              <w:textAlignment w:val="center"/>
              <w:rPr>
                <w:rFonts w:ascii="宋体" w:hAnsi="宋体" w:cs="宋体"/>
                <w:color w:val="auto"/>
                <w:kern w:val="0"/>
                <w:szCs w:val="21"/>
                <w:highlight w:val="none"/>
                <w:lang w:bidi="ar"/>
              </w:rPr>
            </w:pPr>
            <w:r>
              <w:rPr>
                <w:rFonts w:ascii="宋体" w:hAnsi="宋体" w:cs="宋体"/>
                <w:color w:val="auto"/>
                <w:kern w:val="0"/>
                <w:szCs w:val="21"/>
                <w:highlight w:val="none"/>
                <w:lang w:bidi="ar"/>
              </w:rPr>
              <w:t>成分比例：</w:t>
            </w:r>
            <w:r>
              <w:rPr>
                <w:rFonts w:hint="eastAsia" w:ascii="宋体" w:hAnsi="宋体" w:cs="宋体"/>
                <w:color w:val="auto"/>
                <w:kern w:val="0"/>
                <w:szCs w:val="21"/>
                <w:highlight w:val="none"/>
                <w:lang w:val="en-US" w:eastAsia="zh-CN" w:bidi="ar"/>
              </w:rPr>
              <w:t>57</w:t>
            </w:r>
            <w:r>
              <w:rPr>
                <w:rFonts w:ascii="宋体" w:hAnsi="宋体" w:cs="宋体"/>
                <w:color w:val="auto"/>
                <w:kern w:val="0"/>
                <w:szCs w:val="21"/>
                <w:highlight w:val="none"/>
                <w:lang w:bidi="ar"/>
              </w:rPr>
              <w:t>%棉</w:t>
            </w:r>
            <w:r>
              <w:rPr>
                <w:rFonts w:hint="eastAsia" w:ascii="宋体" w:hAnsi="宋体" w:cs="宋体"/>
                <w:color w:val="auto"/>
                <w:kern w:val="0"/>
                <w:szCs w:val="21"/>
                <w:highlight w:val="none"/>
                <w:lang w:val="en-US" w:eastAsia="zh-CN" w:bidi="ar"/>
              </w:rPr>
              <w:t>40</w:t>
            </w:r>
            <w:r>
              <w:rPr>
                <w:rFonts w:ascii="宋体" w:hAnsi="宋体" w:cs="宋体"/>
                <w:color w:val="auto"/>
                <w:kern w:val="0"/>
                <w:szCs w:val="21"/>
                <w:highlight w:val="none"/>
                <w:lang w:bidi="ar"/>
              </w:rPr>
              <w:t>%聚酯纤维</w:t>
            </w:r>
            <w:r>
              <w:rPr>
                <w:rFonts w:hint="eastAsia" w:ascii="宋体" w:hAnsi="宋体" w:cs="宋体"/>
                <w:color w:val="auto"/>
                <w:kern w:val="0"/>
                <w:szCs w:val="21"/>
                <w:highlight w:val="none"/>
                <w:lang w:val="en-US" w:eastAsia="zh-CN" w:bidi="ar"/>
              </w:rPr>
              <w:t>3%氨纶</w:t>
            </w:r>
          </w:p>
        </w:tc>
      </w:tr>
      <w:tr w14:paraId="4A718C48">
        <w:tblPrEx>
          <w:tblCellMar>
            <w:top w:w="0" w:type="dxa"/>
            <w:left w:w="108" w:type="dxa"/>
            <w:bottom w:w="0" w:type="dxa"/>
            <w:right w:w="108" w:type="dxa"/>
          </w:tblCellMar>
        </w:tblPrEx>
        <w:trPr>
          <w:trHeight w:val="135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61373">
            <w:pPr>
              <w:widowControl/>
              <w:jc w:val="center"/>
              <w:textAlignment w:val="center"/>
              <w:rPr>
                <w:rFonts w:ascii="宋体" w:hAnsi="宋体" w:cs="宋体"/>
                <w:color w:val="auto"/>
                <w:szCs w:val="21"/>
                <w:highlight w:val="none"/>
              </w:rPr>
            </w:pPr>
            <w:r>
              <w:rPr>
                <w:rFonts w:ascii="宋体" w:hAnsi="宋体" w:cs="宋体"/>
                <w:color w:val="auto"/>
                <w:kern w:val="0"/>
                <w:szCs w:val="21"/>
                <w:highlight w:val="none"/>
                <w:lang w:bidi="ar"/>
              </w:rPr>
              <w:t xml:space="preserve">3 </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2EBAD">
            <w:pPr>
              <w:widowControl/>
              <w:jc w:val="center"/>
              <w:textAlignment w:val="center"/>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运动上衣</w:t>
            </w:r>
          </w:p>
          <w:p w14:paraId="1E697ECB">
            <w:pPr>
              <w:widowControl/>
              <w:jc w:val="center"/>
              <w:textAlignment w:val="center"/>
              <w:rPr>
                <w:rFonts w:ascii="宋体" w:hAnsi="宋体" w:cs="宋体"/>
                <w:color w:val="auto"/>
                <w:szCs w:val="21"/>
                <w:highlight w:val="none"/>
              </w:rPr>
            </w:pPr>
            <w:r>
              <w:rPr>
                <w:rFonts w:ascii="宋体" w:hAnsi="宋体" w:cs="宋体"/>
                <w:color w:val="auto"/>
                <w:kern w:val="0"/>
                <w:szCs w:val="21"/>
                <w:highlight w:val="none"/>
                <w:lang w:bidi="ar"/>
              </w:rPr>
              <w:t>(</w:t>
            </w:r>
            <w:r>
              <w:rPr>
                <w:rFonts w:hint="eastAsia" w:ascii="宋体" w:hAnsi="宋体" w:cs="宋体"/>
                <w:color w:val="auto"/>
                <w:kern w:val="0"/>
                <w:szCs w:val="21"/>
                <w:highlight w:val="none"/>
                <w:lang w:val="en-US" w:eastAsia="zh-CN" w:bidi="ar"/>
              </w:rPr>
              <w:t>春秋装</w:t>
            </w:r>
            <w:r>
              <w:rPr>
                <w:rFonts w:ascii="宋体" w:hAnsi="宋体" w:cs="宋体"/>
                <w:color w:val="auto"/>
                <w:kern w:val="0"/>
                <w:szCs w:val="21"/>
                <w:highlight w:val="none"/>
                <w:lang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7EAC">
            <w:pPr>
              <w:widowControl/>
              <w:jc w:val="center"/>
              <w:textAlignment w:val="center"/>
              <w:rPr>
                <w:rFonts w:ascii="Arial" w:hAnsi="Arial" w:cs="Arial"/>
                <w:color w:val="auto"/>
                <w:szCs w:val="21"/>
                <w:highlight w:val="none"/>
              </w:rPr>
            </w:pPr>
            <w:r>
              <w:drawing>
                <wp:inline distT="0" distB="0" distL="114300" distR="114300">
                  <wp:extent cx="762000" cy="866775"/>
                  <wp:effectExtent l="0" t="0" r="0" b="952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7"/>
                          <a:stretch>
                            <a:fillRect/>
                          </a:stretch>
                        </pic:blipFill>
                        <pic:spPr>
                          <a:xfrm>
                            <a:off x="0" y="0"/>
                            <a:ext cx="762000" cy="866775"/>
                          </a:xfrm>
                          <a:prstGeom prst="rect">
                            <a:avLst/>
                          </a:prstGeom>
                          <a:noFill/>
                          <a:ln>
                            <a:noFill/>
                          </a:ln>
                        </pic:spPr>
                      </pic:pic>
                    </a:graphicData>
                  </a:graphic>
                </wp:inline>
              </w:drawing>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C7EF0">
            <w:pPr>
              <w:widowControl/>
              <w:textAlignment w:val="center"/>
              <w:rPr>
                <w:rFonts w:ascii="宋体" w:hAnsi="宋体" w:cs="宋体"/>
                <w:color w:val="auto"/>
                <w:kern w:val="0"/>
                <w:szCs w:val="21"/>
                <w:highlight w:val="none"/>
                <w:lang w:bidi="ar"/>
              </w:rPr>
            </w:pPr>
            <w:r>
              <w:rPr>
                <w:rFonts w:ascii="宋体" w:hAnsi="宋体" w:cs="宋体"/>
                <w:color w:val="auto"/>
                <w:kern w:val="0"/>
                <w:szCs w:val="21"/>
                <w:highlight w:val="none"/>
                <w:lang w:bidi="ar"/>
              </w:rPr>
              <w:t>成分比例：6</w:t>
            </w:r>
            <w:r>
              <w:rPr>
                <w:rFonts w:hint="eastAsia" w:ascii="宋体" w:hAnsi="宋体" w:cs="宋体"/>
                <w:color w:val="auto"/>
                <w:kern w:val="0"/>
                <w:szCs w:val="21"/>
                <w:highlight w:val="none"/>
                <w:lang w:val="en-US" w:eastAsia="zh-CN" w:bidi="ar"/>
              </w:rPr>
              <w:t>0</w:t>
            </w:r>
            <w:r>
              <w:rPr>
                <w:rFonts w:ascii="宋体" w:hAnsi="宋体" w:cs="宋体"/>
                <w:color w:val="auto"/>
                <w:kern w:val="0"/>
                <w:szCs w:val="21"/>
                <w:highlight w:val="none"/>
                <w:lang w:bidi="ar"/>
              </w:rPr>
              <w:t>%棉</w:t>
            </w:r>
            <w:r>
              <w:rPr>
                <w:rFonts w:hint="eastAsia" w:ascii="宋体" w:hAnsi="宋体" w:cs="宋体"/>
                <w:color w:val="auto"/>
                <w:kern w:val="0"/>
                <w:szCs w:val="21"/>
                <w:highlight w:val="none"/>
                <w:lang w:val="en-US" w:eastAsia="zh-CN" w:bidi="ar"/>
              </w:rPr>
              <w:t>40</w:t>
            </w:r>
            <w:r>
              <w:rPr>
                <w:rFonts w:ascii="宋体" w:hAnsi="宋体" w:cs="宋体"/>
                <w:color w:val="auto"/>
                <w:kern w:val="0"/>
                <w:szCs w:val="21"/>
                <w:highlight w:val="none"/>
                <w:lang w:bidi="ar"/>
              </w:rPr>
              <w:t>%聚酯纤维</w:t>
            </w:r>
          </w:p>
        </w:tc>
      </w:tr>
      <w:tr w14:paraId="328CF192">
        <w:tblPrEx>
          <w:tblCellMar>
            <w:top w:w="0" w:type="dxa"/>
            <w:left w:w="108" w:type="dxa"/>
            <w:bottom w:w="0" w:type="dxa"/>
            <w:right w:w="108" w:type="dxa"/>
          </w:tblCellMar>
        </w:tblPrEx>
        <w:trPr>
          <w:trHeight w:val="1256"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3D9C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4</w:t>
            </w:r>
            <w:r>
              <w:rPr>
                <w:rFonts w:ascii="宋体" w:hAnsi="宋体" w:cs="宋体"/>
                <w:color w:val="auto"/>
                <w:kern w:val="0"/>
                <w:szCs w:val="21"/>
                <w:highlight w:val="none"/>
                <w:lang w:bidi="ar"/>
              </w:rPr>
              <w:t xml:space="preserve"> </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C64E8">
            <w:pPr>
              <w:widowControl/>
              <w:jc w:val="center"/>
              <w:textAlignment w:val="center"/>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运动长裤</w:t>
            </w:r>
          </w:p>
          <w:p w14:paraId="05A87668">
            <w:pPr>
              <w:widowControl/>
              <w:jc w:val="center"/>
              <w:textAlignment w:val="center"/>
              <w:rPr>
                <w:rFonts w:ascii="宋体" w:hAnsi="宋体" w:cs="宋体"/>
                <w:color w:val="auto"/>
                <w:szCs w:val="21"/>
                <w:highlight w:val="none"/>
              </w:rPr>
            </w:pPr>
            <w:r>
              <w:rPr>
                <w:rFonts w:ascii="宋体" w:hAnsi="宋体" w:cs="宋体"/>
                <w:color w:val="auto"/>
                <w:kern w:val="0"/>
                <w:szCs w:val="21"/>
                <w:highlight w:val="none"/>
                <w:lang w:bidi="ar"/>
              </w:rPr>
              <w:t>(</w:t>
            </w:r>
            <w:r>
              <w:rPr>
                <w:rFonts w:hint="eastAsia" w:ascii="宋体" w:hAnsi="宋体" w:cs="宋体"/>
                <w:color w:val="auto"/>
                <w:kern w:val="0"/>
                <w:szCs w:val="21"/>
                <w:highlight w:val="none"/>
                <w:lang w:val="en-US" w:eastAsia="zh-CN" w:bidi="ar"/>
              </w:rPr>
              <w:t>春秋装</w:t>
            </w:r>
            <w:r>
              <w:rPr>
                <w:rFonts w:ascii="宋体" w:hAnsi="宋体" w:cs="宋体"/>
                <w:color w:val="auto"/>
                <w:kern w:val="0"/>
                <w:szCs w:val="21"/>
                <w:highlight w:val="none"/>
                <w:lang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B5647">
            <w:pPr>
              <w:widowControl/>
              <w:jc w:val="center"/>
              <w:textAlignment w:val="center"/>
              <w:rPr>
                <w:rFonts w:ascii="Arial" w:hAnsi="Arial" w:cs="Arial"/>
                <w:color w:val="auto"/>
                <w:szCs w:val="21"/>
                <w:highlight w:val="none"/>
              </w:rPr>
            </w:pPr>
            <w:r>
              <w:drawing>
                <wp:inline distT="0" distB="0" distL="114300" distR="114300">
                  <wp:extent cx="600075" cy="762000"/>
                  <wp:effectExtent l="0" t="0" r="9525" b="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8"/>
                          <a:stretch>
                            <a:fillRect/>
                          </a:stretch>
                        </pic:blipFill>
                        <pic:spPr>
                          <a:xfrm>
                            <a:off x="0" y="0"/>
                            <a:ext cx="600075" cy="762000"/>
                          </a:xfrm>
                          <a:prstGeom prst="rect">
                            <a:avLst/>
                          </a:prstGeom>
                          <a:noFill/>
                          <a:ln>
                            <a:noFill/>
                          </a:ln>
                        </pic:spPr>
                      </pic:pic>
                    </a:graphicData>
                  </a:graphic>
                </wp:inline>
              </w:drawing>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44E2">
            <w:pPr>
              <w:widowControl/>
              <w:textAlignment w:val="center"/>
              <w:rPr>
                <w:rFonts w:ascii="宋体" w:hAnsi="宋体" w:cs="宋体"/>
                <w:color w:val="auto"/>
                <w:kern w:val="0"/>
                <w:szCs w:val="21"/>
                <w:highlight w:val="none"/>
                <w:lang w:bidi="ar"/>
              </w:rPr>
            </w:pPr>
            <w:r>
              <w:rPr>
                <w:rFonts w:ascii="宋体" w:hAnsi="宋体" w:cs="宋体"/>
                <w:color w:val="auto"/>
                <w:kern w:val="0"/>
                <w:szCs w:val="21"/>
                <w:highlight w:val="none"/>
                <w:lang w:bidi="ar"/>
              </w:rPr>
              <w:t>成分比例：6</w:t>
            </w:r>
            <w:r>
              <w:rPr>
                <w:rFonts w:hint="eastAsia" w:ascii="宋体" w:hAnsi="宋体" w:cs="宋体"/>
                <w:color w:val="auto"/>
                <w:kern w:val="0"/>
                <w:szCs w:val="21"/>
                <w:highlight w:val="none"/>
                <w:lang w:val="en-US" w:eastAsia="zh-CN" w:bidi="ar"/>
              </w:rPr>
              <w:t>0</w:t>
            </w:r>
            <w:r>
              <w:rPr>
                <w:rFonts w:ascii="宋体" w:hAnsi="宋体" w:cs="宋体"/>
                <w:color w:val="auto"/>
                <w:kern w:val="0"/>
                <w:szCs w:val="21"/>
                <w:highlight w:val="none"/>
                <w:lang w:bidi="ar"/>
              </w:rPr>
              <w:t>%棉</w:t>
            </w:r>
            <w:r>
              <w:rPr>
                <w:rFonts w:hint="eastAsia" w:ascii="宋体" w:hAnsi="宋体" w:cs="宋体"/>
                <w:color w:val="auto"/>
                <w:kern w:val="0"/>
                <w:szCs w:val="21"/>
                <w:highlight w:val="none"/>
                <w:lang w:val="en-US" w:eastAsia="zh-CN" w:bidi="ar"/>
              </w:rPr>
              <w:t>40</w:t>
            </w:r>
            <w:r>
              <w:rPr>
                <w:rFonts w:ascii="宋体" w:hAnsi="宋体" w:cs="宋体"/>
                <w:color w:val="auto"/>
                <w:kern w:val="0"/>
                <w:szCs w:val="21"/>
                <w:highlight w:val="none"/>
                <w:lang w:bidi="ar"/>
              </w:rPr>
              <w:t>%聚酯纤维</w:t>
            </w:r>
          </w:p>
        </w:tc>
      </w:tr>
      <w:tr w14:paraId="7AE4D6CE">
        <w:tblPrEx>
          <w:tblCellMar>
            <w:top w:w="0" w:type="dxa"/>
            <w:left w:w="108" w:type="dxa"/>
            <w:bottom w:w="0" w:type="dxa"/>
            <w:right w:w="108" w:type="dxa"/>
          </w:tblCellMar>
        </w:tblPrEx>
        <w:trPr>
          <w:trHeight w:val="1701"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EEA51">
            <w:pPr>
              <w:widowControl/>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5</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FF422">
            <w:pPr>
              <w:widowControl/>
              <w:jc w:val="center"/>
              <w:textAlignment w:val="center"/>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冬季外衣</w:t>
            </w:r>
          </w:p>
          <w:p w14:paraId="6BD7A7B5">
            <w:pPr>
              <w:widowControl/>
              <w:jc w:val="center"/>
              <w:textAlignment w:val="center"/>
              <w:rPr>
                <w:rFonts w:hint="default"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（冬装）</w:t>
            </w:r>
          </w:p>
          <w:p w14:paraId="01D66D1C">
            <w:pPr>
              <w:widowControl/>
              <w:jc w:val="center"/>
              <w:textAlignment w:val="center"/>
              <w:rPr>
                <w:rFonts w:hint="default" w:ascii="宋体" w:hAnsi="宋体" w:cs="宋体"/>
                <w:color w:val="auto"/>
                <w:kern w:val="0"/>
                <w:szCs w:val="21"/>
                <w:highlight w:val="none"/>
                <w:lang w:val="en-US" w:eastAsia="zh-CN" w:bidi="ar"/>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DF596">
            <w:pPr>
              <w:widowControl/>
              <w:jc w:val="center"/>
              <w:textAlignment w:val="center"/>
            </w:pPr>
            <w:r>
              <w:drawing>
                <wp:inline distT="0" distB="0" distL="114300" distR="114300">
                  <wp:extent cx="819150" cy="1047750"/>
                  <wp:effectExtent l="0" t="0" r="3810" b="381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9"/>
                          <a:stretch>
                            <a:fillRect/>
                          </a:stretch>
                        </pic:blipFill>
                        <pic:spPr>
                          <a:xfrm>
                            <a:off x="0" y="0"/>
                            <a:ext cx="819150" cy="1047750"/>
                          </a:xfrm>
                          <a:prstGeom prst="rect">
                            <a:avLst/>
                          </a:prstGeom>
                          <a:noFill/>
                          <a:ln>
                            <a:noFill/>
                          </a:ln>
                        </pic:spPr>
                      </pic:pic>
                    </a:graphicData>
                  </a:graphic>
                </wp:inline>
              </w:drawing>
            </w:r>
          </w:p>
          <w:p w14:paraId="38A91FF1">
            <w:pPr>
              <w:widowControl/>
              <w:jc w:val="center"/>
              <w:textAlignment w:val="cente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D92FF">
            <w:pPr>
              <w:widowControl/>
              <w:textAlignment w:val="center"/>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外套：100%聚酯纤维</w:t>
            </w:r>
          </w:p>
          <w:p w14:paraId="7E3476FC">
            <w:pPr>
              <w:widowControl/>
              <w:textAlignment w:val="center"/>
              <w:rPr>
                <w:rFonts w:hint="default" w:ascii="宋体" w:hAnsi="宋体" w:cs="宋体"/>
                <w:color w:val="auto"/>
                <w:kern w:val="0"/>
                <w:szCs w:val="21"/>
                <w:highlight w:val="none"/>
                <w:lang w:val="en-US" w:eastAsia="zh-CN" w:bidi="ar"/>
              </w:rPr>
            </w:pPr>
          </w:p>
        </w:tc>
      </w:tr>
      <w:tr w14:paraId="3A0937E6">
        <w:tblPrEx>
          <w:tblCellMar>
            <w:top w:w="0" w:type="dxa"/>
            <w:left w:w="108" w:type="dxa"/>
            <w:bottom w:w="0" w:type="dxa"/>
            <w:right w:w="108" w:type="dxa"/>
          </w:tblCellMar>
        </w:tblPrEx>
        <w:trPr>
          <w:trHeight w:val="1701"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C4054">
            <w:pPr>
              <w:widowControl/>
              <w:jc w:val="center"/>
              <w:textAlignment w:val="center"/>
              <w:rPr>
                <w:rFonts w:hint="default"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6</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1ABF8">
            <w:pPr>
              <w:widowControl/>
              <w:jc w:val="center"/>
              <w:textAlignment w:val="center"/>
              <w:rPr>
                <w:rFonts w:hint="eastAsia" w:ascii="宋体" w:hAnsi="宋体" w:cs="宋体"/>
                <w:color w:val="auto"/>
                <w:kern w:val="0"/>
                <w:szCs w:val="21"/>
                <w:highlight w:val="none"/>
                <w:lang w:val="en-US" w:eastAsia="zh-CN" w:bidi="ar"/>
              </w:rPr>
            </w:pPr>
          </w:p>
          <w:p w14:paraId="380B19CD">
            <w:pPr>
              <w:widowControl/>
              <w:jc w:val="center"/>
              <w:textAlignment w:val="center"/>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冬季内胆</w:t>
            </w:r>
          </w:p>
          <w:p w14:paraId="591F83B5">
            <w:pPr>
              <w:widowControl/>
              <w:jc w:val="center"/>
              <w:textAlignment w:val="center"/>
              <w:rPr>
                <w:rFonts w:hint="default"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（冬装）</w:t>
            </w:r>
          </w:p>
          <w:p w14:paraId="640D2E0B">
            <w:pPr>
              <w:widowControl/>
              <w:jc w:val="center"/>
              <w:textAlignment w:val="center"/>
              <w:rPr>
                <w:rFonts w:hint="eastAsia" w:ascii="宋体" w:hAnsi="宋体" w:cs="宋体"/>
                <w:color w:val="auto"/>
                <w:kern w:val="0"/>
                <w:szCs w:val="21"/>
                <w:highlight w:val="none"/>
                <w:lang w:val="en-US" w:eastAsia="zh-CN" w:bidi="ar"/>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2C081">
            <w:pPr>
              <w:widowControl/>
              <w:jc w:val="center"/>
              <w:textAlignment w:val="center"/>
            </w:pPr>
            <w:r>
              <w:drawing>
                <wp:inline distT="0" distB="0" distL="114300" distR="114300">
                  <wp:extent cx="781050" cy="762000"/>
                  <wp:effectExtent l="0" t="0" r="11430" b="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0"/>
                          <a:stretch>
                            <a:fillRect/>
                          </a:stretch>
                        </pic:blipFill>
                        <pic:spPr>
                          <a:xfrm>
                            <a:off x="0" y="0"/>
                            <a:ext cx="781050" cy="762000"/>
                          </a:xfrm>
                          <a:prstGeom prst="rect">
                            <a:avLst/>
                          </a:prstGeom>
                          <a:noFill/>
                          <a:ln>
                            <a:noFill/>
                          </a:ln>
                        </pic:spPr>
                      </pic:pic>
                    </a:graphicData>
                  </a:graphic>
                </wp:inline>
              </w:drawing>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50A0A">
            <w:pPr>
              <w:widowControl/>
              <w:textAlignment w:val="center"/>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内胆：100%聚酯纤维</w:t>
            </w:r>
          </w:p>
        </w:tc>
      </w:tr>
    </w:tbl>
    <w:p w14:paraId="64CEF809">
      <w:pPr>
        <w:spacing w:line="560" w:lineRule="exact"/>
        <w:jc w:val="left"/>
        <w:rPr>
          <w:rFonts w:hint="eastAsia" w:ascii="仿宋" w:hAnsi="宋体" w:eastAsia="仿宋" w:cs="宋体"/>
          <w:sz w:val="24"/>
        </w:rPr>
      </w:pPr>
      <w:r>
        <w:rPr>
          <w:rFonts w:hint="eastAsia" w:ascii="仿宋" w:hAnsi="宋体" w:eastAsia="仿宋" w:cs="宋体"/>
          <w:sz w:val="24"/>
          <w:lang w:eastAsia="zh-CN"/>
        </w:rPr>
        <w:t>（</w:t>
      </w:r>
      <w:r>
        <w:rPr>
          <w:rFonts w:hint="eastAsia" w:ascii="仿宋" w:hAnsi="宋体" w:eastAsia="仿宋" w:cs="宋体"/>
          <w:sz w:val="24"/>
          <w:lang w:val="en-US" w:eastAsia="zh-CN"/>
        </w:rPr>
        <w:t>2）</w:t>
      </w:r>
      <w:r>
        <w:rPr>
          <w:rFonts w:hint="eastAsia" w:ascii="仿宋" w:hAnsi="宋体" w:eastAsia="仿宋" w:cs="宋体"/>
          <w:sz w:val="24"/>
        </w:rPr>
        <w:t>校徽参考</w:t>
      </w:r>
      <w:r>
        <w:rPr>
          <w:rFonts w:hint="eastAsia" w:ascii="仿宋" w:hAnsi="宋体" w:eastAsia="仿宋" w:cs="宋体"/>
          <w:sz w:val="24"/>
          <w:lang w:eastAsia="zh-CN"/>
        </w:rPr>
        <w:t>；</w:t>
      </w:r>
    </w:p>
    <w:p w14:paraId="4F317760">
      <w:pPr>
        <w:numPr>
          <w:ilvl w:val="0"/>
          <w:numId w:val="0"/>
        </w:numPr>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drawing>
          <wp:inline distT="0" distB="0" distL="114300" distR="114300">
            <wp:extent cx="1938655" cy="1938655"/>
            <wp:effectExtent l="0" t="0" r="4445" b="4445"/>
            <wp:docPr id="11" name="图片 11" descr="fe7667d603b695af61d59386076bc8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e7667d603b695af61d59386076bc8a0"/>
                    <pic:cNvPicPr>
                      <a:picLocks noChangeAspect="1"/>
                    </pic:cNvPicPr>
                  </pic:nvPicPr>
                  <pic:blipFill>
                    <a:blip r:embed="rId11"/>
                    <a:stretch>
                      <a:fillRect/>
                    </a:stretch>
                  </pic:blipFill>
                  <pic:spPr>
                    <a:xfrm>
                      <a:off x="0" y="0"/>
                      <a:ext cx="1938655" cy="1938655"/>
                    </a:xfrm>
                    <a:prstGeom prst="rect">
                      <a:avLst/>
                    </a:prstGeom>
                  </pic:spPr>
                </pic:pic>
              </a:graphicData>
            </a:graphic>
          </wp:inline>
        </w:drawing>
      </w:r>
    </w:p>
    <w:p w14:paraId="22F27226">
      <w:pPr>
        <w:spacing w:line="560" w:lineRule="exact"/>
        <w:ind w:firstLine="482"/>
        <w:jc w:val="left"/>
        <w:rPr>
          <w:rFonts w:hint="eastAsia" w:ascii="仿宋" w:hAnsi="宋体" w:eastAsia="仿宋" w:cs="宋体"/>
          <w:sz w:val="24"/>
        </w:rPr>
      </w:pPr>
      <w:r>
        <w:rPr>
          <w:rFonts w:hint="eastAsia" w:ascii="仿宋" w:hAnsi="宋体" w:eastAsia="仿宋" w:cs="宋体"/>
          <w:sz w:val="24"/>
          <w:lang w:eastAsia="zh-CN"/>
        </w:rPr>
        <w:t>（</w:t>
      </w:r>
      <w:r>
        <w:rPr>
          <w:rFonts w:hint="eastAsia" w:ascii="仿宋" w:hAnsi="宋体" w:eastAsia="仿宋" w:cs="宋体"/>
          <w:sz w:val="24"/>
          <w:lang w:val="en-US" w:eastAsia="zh-CN"/>
        </w:rPr>
        <w:t>3）</w:t>
      </w:r>
      <w:r>
        <w:rPr>
          <w:rFonts w:hint="eastAsia" w:ascii="仿宋" w:hAnsi="宋体" w:eastAsia="仿宋" w:cs="宋体"/>
          <w:sz w:val="24"/>
        </w:rPr>
        <w:t>安全质量规范：校服要有成衣合格标识，要符合国家质量标准，确保无毒、无害、舒适、耐用。招标文件和合同必须标明执行标准，安全与质量应符合GB18401</w:t>
      </w:r>
      <w:r>
        <w:rPr>
          <w:rFonts w:hint="eastAsia" w:ascii="仿宋" w:hAnsi="宋体" w:eastAsia="仿宋" w:cs="宋体"/>
          <w:sz w:val="24"/>
          <w:lang w:val="en-US" w:eastAsia="zh-CN"/>
        </w:rPr>
        <w:t>-2010</w:t>
      </w:r>
      <w:r>
        <w:rPr>
          <w:rFonts w:hint="eastAsia" w:ascii="仿宋" w:hAnsi="宋体" w:eastAsia="仿宋" w:cs="宋体"/>
          <w:sz w:val="24"/>
        </w:rPr>
        <w:t>《国家纺织产品基本安全技术规范》、</w:t>
      </w:r>
      <w:r>
        <w:rPr>
          <w:rFonts w:hint="eastAsia" w:ascii="仿宋" w:hAnsi="宋体" w:eastAsia="仿宋" w:cs="宋体"/>
          <w:sz w:val="24"/>
          <w:lang w:val="en-US" w:eastAsia="zh-CN"/>
        </w:rPr>
        <w:t>G</w:t>
      </w:r>
      <w:r>
        <w:rPr>
          <w:rFonts w:hint="eastAsia" w:ascii="仿宋" w:hAnsi="宋体" w:eastAsia="仿宋" w:cs="宋体"/>
          <w:sz w:val="24"/>
        </w:rPr>
        <w:t>B31701</w:t>
      </w:r>
      <w:r>
        <w:rPr>
          <w:rFonts w:hint="eastAsia" w:ascii="仿宋" w:hAnsi="宋体" w:eastAsia="仿宋" w:cs="宋体"/>
          <w:sz w:val="24"/>
          <w:lang w:val="en-US" w:eastAsia="zh-CN"/>
        </w:rPr>
        <w:t>-2015</w:t>
      </w:r>
      <w:r>
        <w:rPr>
          <w:rFonts w:hint="eastAsia" w:ascii="仿宋" w:hAnsi="宋体" w:eastAsia="仿宋" w:cs="宋体"/>
          <w:sz w:val="24"/>
        </w:rPr>
        <w:t>《婴幼儿及儿童纺织产品安全技术规范》、GB/T31888</w:t>
      </w:r>
      <w:r>
        <w:rPr>
          <w:rFonts w:hint="eastAsia" w:ascii="仿宋" w:hAnsi="宋体" w:eastAsia="仿宋" w:cs="宋体"/>
          <w:sz w:val="24"/>
          <w:lang w:val="en-US" w:eastAsia="zh-CN"/>
        </w:rPr>
        <w:t>-2015</w:t>
      </w:r>
      <w:r>
        <w:rPr>
          <w:rFonts w:hint="eastAsia" w:ascii="仿宋" w:hAnsi="宋体" w:eastAsia="仿宋" w:cs="宋体"/>
          <w:sz w:val="24"/>
        </w:rPr>
        <w:t>《中小</w:t>
      </w:r>
      <w:r>
        <w:rPr>
          <w:rFonts w:hint="eastAsia" w:ascii="仿宋" w:hAnsi="宋体" w:eastAsia="仿宋" w:cs="宋体"/>
          <w:sz w:val="24"/>
          <w:lang w:eastAsia="zh-CN"/>
        </w:rPr>
        <w:t>学</w:t>
      </w:r>
      <w:r>
        <w:rPr>
          <w:rFonts w:hint="eastAsia" w:ascii="仿宋" w:hAnsi="宋体" w:eastAsia="仿宋" w:cs="宋体"/>
          <w:sz w:val="24"/>
          <w:lang w:val="en-US" w:eastAsia="zh-CN"/>
        </w:rPr>
        <w:t>生</w:t>
      </w:r>
      <w:r>
        <w:rPr>
          <w:rFonts w:hint="eastAsia" w:ascii="仿宋" w:hAnsi="宋体" w:eastAsia="仿宋" w:cs="宋体"/>
          <w:sz w:val="24"/>
          <w:lang w:eastAsia="zh-CN"/>
        </w:rPr>
        <w:t>校服</w:t>
      </w:r>
      <w:r>
        <w:rPr>
          <w:rFonts w:hint="eastAsia" w:ascii="仿宋" w:hAnsi="宋体" w:eastAsia="仿宋" w:cs="宋体"/>
          <w:sz w:val="24"/>
        </w:rPr>
        <w:t>》等国家标准。提供具有法定质检机构出具的合格检测报告。</w:t>
      </w:r>
    </w:p>
    <w:p w14:paraId="59E82819">
      <w:pPr>
        <w:spacing w:line="560" w:lineRule="exact"/>
        <w:ind w:firstLine="482"/>
        <w:jc w:val="left"/>
        <w:rPr>
          <w:rFonts w:hint="eastAsia" w:ascii="仿宋" w:hAnsi="宋体" w:eastAsia="仿宋" w:cs="宋体"/>
          <w:sz w:val="24"/>
        </w:rPr>
      </w:pPr>
      <w:r>
        <w:rPr>
          <w:rFonts w:hint="eastAsia" w:ascii="仿宋" w:hAnsi="宋体" w:eastAsia="仿宋" w:cs="宋体"/>
          <w:sz w:val="24"/>
        </w:rPr>
        <w:t>舒适性：面料应选择吸湿、透气、柔软、耐磨的环保材料（如优质棉混纺、快干纤维等）。冬季校服应注重保暖，夏季校服应注重轻薄透气。</w:t>
      </w:r>
    </w:p>
    <w:p w14:paraId="7E8BECCE">
      <w:pPr>
        <w:spacing w:line="560" w:lineRule="exact"/>
        <w:ind w:firstLine="482"/>
        <w:jc w:val="left"/>
        <w:rPr>
          <w:rFonts w:hint="eastAsia" w:ascii="仿宋" w:hAnsi="宋体" w:eastAsia="仿宋" w:cs="宋体"/>
          <w:sz w:val="24"/>
        </w:rPr>
      </w:pPr>
      <w:r>
        <w:rPr>
          <w:rFonts w:hint="eastAsia" w:ascii="仿宋" w:hAnsi="宋体" w:eastAsia="仿宋" w:cs="宋体"/>
          <w:sz w:val="24"/>
        </w:rPr>
        <w:t>耐用性： 缝线牢固，扣件、拉链质量可靠，多次洗涤后不易变形、褪色。</w:t>
      </w:r>
    </w:p>
    <w:p w14:paraId="6F795504">
      <w:pPr>
        <w:spacing w:line="560" w:lineRule="exact"/>
        <w:ind w:firstLine="482"/>
        <w:jc w:val="left"/>
        <w:rPr>
          <w:rFonts w:hint="eastAsia" w:ascii="仿宋" w:hAnsi="宋体" w:eastAsia="仿宋" w:cs="宋体"/>
          <w:sz w:val="24"/>
        </w:rPr>
      </w:pPr>
      <w:r>
        <w:rPr>
          <w:rFonts w:hint="eastAsia" w:ascii="仿宋" w:hAnsi="宋体" w:eastAsia="仿宋" w:cs="宋体"/>
          <w:sz w:val="24"/>
        </w:rPr>
        <w:t>美观与功能性：款式简洁大方，体现学校文化元素；设计符合学生身体发育特点，便于运动；考虑反光条等安全设计。</w:t>
      </w:r>
    </w:p>
    <w:p w14:paraId="11F1AF83">
      <w:pPr>
        <w:numPr>
          <w:ilvl w:val="0"/>
          <w:numId w:val="2"/>
        </w:numPr>
        <w:spacing w:before="200" w:after="100"/>
        <w:ind w:left="0" w:leftChars="0" w:firstLine="0" w:firstLineChars="0"/>
        <w:jc w:val="left"/>
        <w:outlineLvl w:val="1"/>
        <w:rPr>
          <w:rFonts w:hint="eastAsia" w:ascii="楷体" w:hAnsi="宋体" w:eastAsia="楷体" w:cs="宋体"/>
          <w:sz w:val="32"/>
        </w:rPr>
      </w:pPr>
      <w:r>
        <w:rPr>
          <w:rFonts w:hint="eastAsia" w:ascii="楷体" w:hAnsi="宋体" w:eastAsia="楷体" w:cs="宋体"/>
          <w:sz w:val="32"/>
        </w:rPr>
        <w:t>尺码与适配性</w:t>
      </w:r>
    </w:p>
    <w:p w14:paraId="05B4CB83">
      <w:pPr>
        <w:spacing w:line="560" w:lineRule="exact"/>
        <w:ind w:firstLine="482"/>
        <w:jc w:val="left"/>
        <w:rPr>
          <w:rFonts w:hint="eastAsia" w:ascii="仿宋" w:hAnsi="宋体" w:eastAsia="仿宋" w:cs="宋体"/>
          <w:sz w:val="24"/>
        </w:rPr>
      </w:pPr>
      <w:r>
        <w:rPr>
          <w:rFonts w:hint="eastAsia" w:ascii="仿宋" w:hAnsi="宋体" w:eastAsia="仿宋" w:cs="宋体"/>
          <w:sz w:val="24"/>
        </w:rPr>
        <w:t>（1）尺码范围：覆盖学生各类体型，提供多个标准尺码，同时可根据学生身高、体重细分尺码区间（如120cm、130cm、140cm、150cm、155cm、160cm、165cm、170cm、175cm、180cm、185cm对应尺码），确保每位学生都能找到合身的校服。</w:t>
      </w:r>
    </w:p>
    <w:p w14:paraId="01345284">
      <w:pPr>
        <w:spacing w:line="560" w:lineRule="exact"/>
        <w:ind w:firstLine="482"/>
        <w:jc w:val="left"/>
        <w:rPr>
          <w:rFonts w:hint="eastAsia" w:ascii="仿宋" w:hAnsi="宋体" w:eastAsia="仿宋" w:cs="宋体"/>
          <w:sz w:val="24"/>
        </w:rPr>
      </w:pPr>
      <w:r>
        <w:rPr>
          <w:rFonts w:hint="eastAsia" w:ascii="仿宋" w:hAnsi="宋体" w:eastAsia="仿宋" w:cs="宋体"/>
          <w:sz w:val="24"/>
        </w:rPr>
        <w:t>（2）定制服务：针对肥胖、过瘦等特殊体型学生，提供专属定制选项，由家长提交学生详细身高、体重、三围等数据，供应商按需定制，保障特殊体型学生的穿着舒适度。</w:t>
      </w:r>
    </w:p>
    <w:p w14:paraId="673A98A9">
      <w:pPr>
        <w:spacing w:before="200" w:after="100"/>
        <w:jc w:val="left"/>
        <w:outlineLvl w:val="1"/>
        <w:rPr>
          <w:rFonts w:hint="eastAsia" w:ascii="楷体" w:hAnsi="宋体" w:eastAsia="楷体" w:cs="宋体"/>
          <w:sz w:val="32"/>
        </w:rPr>
      </w:pPr>
      <w:r>
        <w:rPr>
          <w:rFonts w:hint="eastAsia" w:ascii="楷体" w:hAnsi="宋体" w:eastAsia="楷体" w:cs="宋体"/>
          <w:sz w:val="32"/>
        </w:rPr>
        <w:t>（</w:t>
      </w:r>
      <w:r>
        <w:rPr>
          <w:rFonts w:hint="eastAsia" w:ascii="楷体" w:hAnsi="宋体" w:eastAsia="楷体" w:cs="宋体"/>
          <w:sz w:val="32"/>
          <w:lang w:val="en-US" w:eastAsia="zh-CN"/>
        </w:rPr>
        <w:t>五</w:t>
      </w:r>
      <w:r>
        <w:rPr>
          <w:rFonts w:hint="eastAsia" w:ascii="楷体" w:hAnsi="宋体" w:eastAsia="楷体" w:cs="宋体"/>
          <w:sz w:val="32"/>
        </w:rPr>
        <w:t>）包装及标识</w:t>
      </w:r>
    </w:p>
    <w:p w14:paraId="0FB399BC">
      <w:pPr>
        <w:spacing w:line="560" w:lineRule="exact"/>
        <w:ind w:firstLine="482"/>
        <w:jc w:val="left"/>
        <w:rPr>
          <w:rFonts w:hint="eastAsia" w:ascii="仿宋" w:hAnsi="宋体" w:eastAsia="仿宋" w:cs="宋体"/>
          <w:b/>
          <w:bCs/>
          <w:sz w:val="24"/>
          <w:highlight w:val="none"/>
        </w:rPr>
      </w:pPr>
      <w:r>
        <w:rPr>
          <w:rFonts w:hint="eastAsia" w:ascii="仿宋" w:hAnsi="宋体" w:eastAsia="仿宋" w:cs="宋体"/>
          <w:sz w:val="24"/>
        </w:rPr>
        <w:t>1. 包装要求：每件校服采用独立包装，夏季校服使用透明袋包装，春秋季、冬季校服使用透明袋包装，包装需牢固、防尘、防潮，避免运输过程中受损。包装标签需清晰注明校服</w:t>
      </w:r>
      <w:r>
        <w:rPr>
          <w:rFonts w:hint="eastAsia" w:ascii="仿宋" w:hAnsi="宋体" w:eastAsia="仿宋" w:cs="宋体"/>
          <w:sz w:val="24"/>
          <w:highlight w:val="none"/>
        </w:rPr>
        <w:t>尺码、种类（如“夏季短袖T恤-</w:t>
      </w:r>
      <w:r>
        <w:rPr>
          <w:rFonts w:hint="eastAsia" w:ascii="仿宋" w:hAnsi="宋体" w:eastAsia="仿宋" w:cs="宋体"/>
          <w:sz w:val="24"/>
          <w:highlight w:val="none"/>
          <w:lang w:val="en-US" w:eastAsia="zh-CN"/>
        </w:rPr>
        <w:t>165/74B</w:t>
      </w:r>
      <w:r>
        <w:rPr>
          <w:rFonts w:hint="eastAsia" w:ascii="仿宋" w:hAnsi="宋体" w:eastAsia="仿宋" w:cs="宋体"/>
          <w:sz w:val="24"/>
          <w:highlight w:val="none"/>
        </w:rPr>
        <w:t>”）</w:t>
      </w:r>
      <w:r>
        <w:rPr>
          <w:rFonts w:hint="eastAsia" w:ascii="仿宋" w:hAnsi="宋体" w:eastAsia="仿宋" w:cs="宋体"/>
          <w:b/>
          <w:bCs/>
          <w:sz w:val="24"/>
          <w:highlight w:val="none"/>
        </w:rPr>
        <w:t>。</w:t>
      </w:r>
    </w:p>
    <w:p w14:paraId="66B5242A">
      <w:pPr>
        <w:spacing w:line="560" w:lineRule="exact"/>
        <w:ind w:firstLine="482"/>
        <w:jc w:val="left"/>
        <w:rPr>
          <w:rFonts w:hint="default" w:ascii="仿宋" w:hAnsi="宋体" w:eastAsia="仿宋" w:cs="宋体"/>
          <w:b w:val="0"/>
          <w:bCs w:val="0"/>
          <w:sz w:val="24"/>
          <w:highlight w:val="none"/>
          <w:lang w:val="en-US" w:eastAsia="zh-CN"/>
        </w:rPr>
      </w:pPr>
      <w:r>
        <w:rPr>
          <w:rFonts w:hint="eastAsia" w:ascii="仿宋" w:hAnsi="宋体" w:eastAsia="仿宋" w:cs="宋体"/>
          <w:b w:val="0"/>
          <w:bCs w:val="0"/>
          <w:sz w:val="24"/>
          <w:highlight w:val="none"/>
          <w:lang w:val="en-US" w:eastAsia="zh-CN"/>
        </w:rPr>
        <w:t>2.袋标识：每件校服需标注学校名称、年级/班级、学生姓名。</w:t>
      </w:r>
    </w:p>
    <w:p w14:paraId="0394138E">
      <w:pPr>
        <w:spacing w:line="440" w:lineRule="exact"/>
        <w:ind w:firstLine="480" w:firstLineChars="200"/>
        <w:jc w:val="left"/>
        <w:outlineLvl w:val="3"/>
        <w:rPr>
          <w:rFonts w:hint="eastAsia" w:ascii="仿宋_GB2312" w:hAnsi="仿宋_GB2312" w:eastAsia="仿宋_GB2312" w:cs="仿宋_GB2312"/>
          <w:bCs/>
          <w:sz w:val="24"/>
          <w:highlight w:val="none"/>
          <w:lang w:val="en-US" w:eastAsia="zh-CN"/>
        </w:rPr>
      </w:pPr>
      <w:r>
        <w:rPr>
          <w:rFonts w:hint="eastAsia" w:ascii="仿宋_GB2312" w:hAnsi="仿宋_GB2312" w:eastAsia="仿宋_GB2312" w:cs="仿宋_GB2312"/>
          <w:bCs/>
          <w:sz w:val="24"/>
          <w:highlight w:val="none"/>
          <w:lang w:val="en-US" w:eastAsia="zh-CN"/>
        </w:rPr>
        <w:t>3.标识要求：给学校交付的校服，其吊牌、耐久性标签等使用说明标识须符合GB/T  5296.4-2012《消费品使用说明第4部分：纺织品和服装》要求，校服的标签(吊牌和水洗标)上必须包含以下信息：</w:t>
      </w:r>
    </w:p>
    <w:p w14:paraId="34E6322E">
      <w:pPr>
        <w:spacing w:line="440" w:lineRule="exact"/>
        <w:ind w:firstLine="480" w:firstLineChars="200"/>
        <w:jc w:val="left"/>
        <w:outlineLvl w:val="3"/>
        <w:rPr>
          <w:rFonts w:hint="eastAsia" w:ascii="仿宋_GB2312" w:hAnsi="仿宋_GB2312" w:eastAsia="仿宋_GB2312" w:cs="仿宋_GB2312"/>
          <w:bCs/>
          <w:sz w:val="24"/>
          <w:highlight w:val="none"/>
          <w:lang w:val="en-US" w:eastAsia="zh-CN"/>
        </w:rPr>
      </w:pPr>
      <w:r>
        <w:rPr>
          <w:rFonts w:hint="eastAsia" w:ascii="仿宋_GB2312" w:hAnsi="仿宋_GB2312" w:eastAsia="仿宋_GB2312" w:cs="仿宋_GB2312"/>
          <w:bCs/>
          <w:sz w:val="24"/>
          <w:highlight w:val="none"/>
          <w:lang w:val="en-US" w:eastAsia="zh-CN"/>
        </w:rPr>
        <w:t>a. 制造商名称和地址；</w:t>
      </w:r>
    </w:p>
    <w:p w14:paraId="0C185B34">
      <w:pPr>
        <w:spacing w:line="440" w:lineRule="exact"/>
        <w:ind w:firstLine="480" w:firstLineChars="200"/>
        <w:jc w:val="left"/>
        <w:outlineLvl w:val="3"/>
        <w:rPr>
          <w:rFonts w:hint="eastAsia" w:ascii="仿宋_GB2312" w:hAnsi="仿宋_GB2312" w:eastAsia="仿宋_GB2312" w:cs="仿宋_GB2312"/>
          <w:bCs/>
          <w:sz w:val="24"/>
          <w:highlight w:val="none"/>
          <w:lang w:val="en-US" w:eastAsia="zh-CN"/>
        </w:rPr>
      </w:pPr>
      <w:r>
        <w:rPr>
          <w:rFonts w:hint="eastAsia" w:ascii="仿宋_GB2312" w:hAnsi="仿宋_GB2312" w:eastAsia="仿宋_GB2312" w:cs="仿宋_GB2312"/>
          <w:bCs/>
          <w:sz w:val="24"/>
          <w:highlight w:val="none"/>
          <w:lang w:val="en-US" w:eastAsia="zh-CN"/>
        </w:rPr>
        <w:t>b. 产品名称；</w:t>
      </w:r>
    </w:p>
    <w:p w14:paraId="58815EB2">
      <w:pPr>
        <w:spacing w:line="440" w:lineRule="exact"/>
        <w:ind w:firstLine="480" w:firstLineChars="200"/>
        <w:jc w:val="left"/>
        <w:outlineLvl w:val="3"/>
        <w:rPr>
          <w:rFonts w:hint="eastAsia" w:ascii="仿宋_GB2312" w:hAnsi="仿宋_GB2312" w:eastAsia="仿宋_GB2312" w:cs="仿宋_GB2312"/>
          <w:bCs/>
          <w:sz w:val="24"/>
          <w:highlight w:val="none"/>
          <w:lang w:val="en-US" w:eastAsia="zh-CN"/>
        </w:rPr>
      </w:pPr>
      <w:r>
        <w:rPr>
          <w:rFonts w:hint="eastAsia" w:ascii="仿宋_GB2312" w:hAnsi="仿宋_GB2312" w:eastAsia="仿宋_GB2312" w:cs="仿宋_GB2312"/>
          <w:bCs/>
          <w:sz w:val="24"/>
          <w:highlight w:val="none"/>
          <w:lang w:val="en-US" w:eastAsia="zh-CN"/>
        </w:rPr>
        <w:t>c. 产品规格型号(耐久性);</w:t>
      </w:r>
    </w:p>
    <w:p w14:paraId="641AA5B4">
      <w:pPr>
        <w:spacing w:line="440" w:lineRule="exact"/>
        <w:ind w:firstLine="480" w:firstLineChars="200"/>
        <w:jc w:val="left"/>
        <w:outlineLvl w:val="3"/>
        <w:rPr>
          <w:rFonts w:hint="eastAsia" w:ascii="仿宋_GB2312" w:hAnsi="仿宋_GB2312" w:eastAsia="仿宋_GB2312" w:cs="仿宋_GB2312"/>
          <w:bCs/>
          <w:sz w:val="24"/>
          <w:highlight w:val="none"/>
          <w:lang w:val="en-US" w:eastAsia="zh-CN"/>
        </w:rPr>
      </w:pPr>
      <w:r>
        <w:rPr>
          <w:rFonts w:hint="eastAsia" w:ascii="仿宋_GB2312" w:hAnsi="仿宋_GB2312" w:eastAsia="仿宋_GB2312" w:cs="仿宋_GB2312"/>
          <w:bCs/>
          <w:sz w:val="24"/>
          <w:highlight w:val="none"/>
          <w:lang w:val="en-US" w:eastAsia="zh-CN"/>
        </w:rPr>
        <w:t>d. 纤维成分及含量(耐久性);</w:t>
      </w:r>
    </w:p>
    <w:p w14:paraId="05F2F35F">
      <w:pPr>
        <w:spacing w:line="440" w:lineRule="exact"/>
        <w:ind w:firstLine="480" w:firstLineChars="200"/>
        <w:jc w:val="left"/>
        <w:outlineLvl w:val="3"/>
        <w:rPr>
          <w:rFonts w:hint="eastAsia" w:ascii="仿宋_GB2312" w:hAnsi="仿宋_GB2312" w:eastAsia="仿宋_GB2312" w:cs="仿宋_GB2312"/>
          <w:bCs/>
          <w:sz w:val="24"/>
          <w:highlight w:val="none"/>
          <w:lang w:val="en-US" w:eastAsia="zh-CN"/>
        </w:rPr>
      </w:pPr>
      <w:r>
        <w:rPr>
          <w:rFonts w:hint="eastAsia" w:ascii="仿宋_GB2312" w:hAnsi="仿宋_GB2312" w:eastAsia="仿宋_GB2312" w:cs="仿宋_GB2312"/>
          <w:bCs/>
          <w:sz w:val="24"/>
          <w:highlight w:val="none"/>
          <w:lang w:val="en-US" w:eastAsia="zh-CN"/>
        </w:rPr>
        <w:t>e. 洗涤维护方法(耐久性);</w:t>
      </w:r>
    </w:p>
    <w:p w14:paraId="7BAD9522">
      <w:pPr>
        <w:spacing w:line="440" w:lineRule="exact"/>
        <w:ind w:firstLine="480" w:firstLineChars="200"/>
        <w:jc w:val="left"/>
        <w:outlineLvl w:val="3"/>
        <w:rPr>
          <w:rFonts w:hint="eastAsia" w:ascii="仿宋_GB2312" w:hAnsi="仿宋_GB2312" w:eastAsia="仿宋_GB2312" w:cs="仿宋_GB2312"/>
          <w:bCs/>
          <w:sz w:val="24"/>
          <w:highlight w:val="none"/>
          <w:lang w:val="en-US" w:eastAsia="zh-CN"/>
        </w:rPr>
      </w:pPr>
      <w:r>
        <w:rPr>
          <w:rFonts w:hint="eastAsia" w:ascii="仿宋_GB2312" w:hAnsi="仿宋_GB2312" w:eastAsia="仿宋_GB2312" w:cs="仿宋_GB2312"/>
          <w:bCs/>
          <w:sz w:val="24"/>
          <w:highlight w:val="none"/>
          <w:lang w:val="en-US" w:eastAsia="zh-CN"/>
        </w:rPr>
        <w:t>f. 产品标准编号。</w:t>
      </w:r>
    </w:p>
    <w:p w14:paraId="7A4A3DF2">
      <w:pPr>
        <w:spacing w:line="440" w:lineRule="exact"/>
        <w:ind w:firstLine="480" w:firstLineChars="200"/>
        <w:jc w:val="left"/>
        <w:outlineLvl w:val="3"/>
        <w:rPr>
          <w:rFonts w:hint="eastAsia" w:ascii="仿宋_GB2312" w:hAnsi="仿宋_GB2312" w:eastAsia="仿宋_GB2312" w:cs="仿宋_GB2312"/>
          <w:bCs/>
          <w:sz w:val="24"/>
          <w:highlight w:val="none"/>
          <w:lang w:val="en-US" w:eastAsia="zh-CN"/>
        </w:rPr>
      </w:pPr>
      <w:r>
        <w:rPr>
          <w:rFonts w:hint="eastAsia" w:ascii="仿宋_GB2312" w:hAnsi="仿宋_GB2312" w:eastAsia="仿宋_GB2312" w:cs="仿宋_GB2312"/>
          <w:bCs/>
          <w:sz w:val="24"/>
          <w:highlight w:val="none"/>
          <w:lang w:val="en-US" w:eastAsia="zh-CN"/>
        </w:rPr>
        <w:t>g. 基本安全技术要求类别。</w:t>
      </w:r>
    </w:p>
    <w:p w14:paraId="37F25683">
      <w:pPr>
        <w:spacing w:line="440" w:lineRule="exact"/>
        <w:ind w:firstLine="480" w:firstLineChars="200"/>
        <w:jc w:val="left"/>
        <w:outlineLvl w:val="3"/>
        <w:rPr>
          <w:rFonts w:hint="eastAsia" w:ascii="仿宋_GB2312" w:hAnsi="仿宋_GB2312" w:eastAsia="仿宋_GB2312" w:cs="仿宋_GB2312"/>
          <w:bCs/>
          <w:sz w:val="24"/>
          <w:highlight w:val="cyan"/>
          <w:lang w:val="en-US" w:eastAsia="zh-CN"/>
        </w:rPr>
      </w:pPr>
      <w:r>
        <w:rPr>
          <w:rFonts w:hint="eastAsia" w:ascii="仿宋_GB2312" w:hAnsi="仿宋_GB2312" w:eastAsia="仿宋_GB2312" w:cs="仿宋_GB2312"/>
          <w:bCs/>
          <w:sz w:val="24"/>
          <w:highlight w:val="none"/>
          <w:lang w:val="en-US" w:eastAsia="zh-CN"/>
        </w:rPr>
        <w:t>校服产品耐久性标签放于侧缝处，不允许在衣领处缝制任何标签。</w:t>
      </w:r>
    </w:p>
    <w:p w14:paraId="2267AD18">
      <w:pPr>
        <w:spacing w:before="200" w:after="100"/>
        <w:jc w:val="left"/>
        <w:outlineLvl w:val="1"/>
        <w:rPr>
          <w:rFonts w:hint="eastAsia" w:ascii="楷体" w:hAnsi="宋体" w:eastAsia="楷体" w:cs="宋体"/>
          <w:sz w:val="32"/>
          <w:lang w:eastAsia="zh-CN"/>
        </w:rPr>
      </w:pPr>
      <w:r>
        <w:rPr>
          <w:rFonts w:hint="eastAsia" w:ascii="楷体" w:hAnsi="宋体" w:eastAsia="楷体" w:cs="宋体"/>
          <w:sz w:val="32"/>
        </w:rPr>
        <w:t>（</w:t>
      </w:r>
      <w:r>
        <w:rPr>
          <w:rFonts w:hint="eastAsia" w:ascii="楷体" w:hAnsi="宋体" w:eastAsia="楷体" w:cs="宋体"/>
          <w:sz w:val="32"/>
          <w:lang w:val="en-US" w:eastAsia="zh-CN"/>
        </w:rPr>
        <w:t>六</w:t>
      </w:r>
      <w:r>
        <w:rPr>
          <w:rFonts w:hint="eastAsia" w:ascii="楷体" w:hAnsi="宋体" w:eastAsia="楷体" w:cs="宋体"/>
          <w:sz w:val="32"/>
        </w:rPr>
        <w:t>）预算与</w:t>
      </w:r>
      <w:r>
        <w:rPr>
          <w:rFonts w:hint="eastAsia" w:ascii="楷体" w:hAnsi="宋体" w:eastAsia="楷体" w:cs="宋体"/>
          <w:sz w:val="32"/>
          <w:lang w:val="en-US" w:eastAsia="zh-CN"/>
        </w:rPr>
        <w:t>限价</w:t>
      </w:r>
    </w:p>
    <w:p w14:paraId="0C624740">
      <w:pPr>
        <w:spacing w:line="560" w:lineRule="exact"/>
        <w:ind w:firstLine="482"/>
        <w:jc w:val="left"/>
        <w:rPr>
          <w:rFonts w:ascii="仿宋" w:hAnsi="宋体" w:eastAsia="仿宋" w:cs="宋体"/>
          <w:sz w:val="24"/>
          <w:highlight w:val="none"/>
        </w:rPr>
      </w:pPr>
      <w:r>
        <w:rPr>
          <w:rFonts w:hint="eastAsia" w:ascii="仿宋" w:hAnsi="宋体" w:eastAsia="仿宋" w:cs="宋体"/>
          <w:sz w:val="24"/>
          <w:highlight w:val="none"/>
        </w:rPr>
        <w:t>1. 预算范围：本次校服采购总价</w:t>
      </w:r>
      <w:r>
        <w:rPr>
          <w:rFonts w:hint="eastAsia" w:ascii="仿宋" w:hAnsi="宋体" w:eastAsia="仿宋" w:cs="宋体"/>
          <w:sz w:val="24"/>
          <w:highlight w:val="none"/>
          <w:lang w:val="en-US" w:eastAsia="zh-CN"/>
        </w:rPr>
        <w:t>788740</w:t>
      </w:r>
      <w:r>
        <w:rPr>
          <w:rFonts w:hint="eastAsia" w:ascii="仿宋" w:hAnsi="宋体" w:eastAsia="仿宋" w:cs="宋体"/>
          <w:sz w:val="24"/>
          <w:highlight w:val="none"/>
        </w:rPr>
        <w:t>元（</w:t>
      </w:r>
      <w:r>
        <w:rPr>
          <w:rFonts w:hint="eastAsia" w:ascii="仿宋" w:hAnsi="宋体" w:eastAsia="仿宋" w:cs="宋体"/>
          <w:sz w:val="24"/>
          <w:highlight w:val="none"/>
          <w:lang w:val="en-US" w:eastAsia="zh-CN"/>
        </w:rPr>
        <w:t>565</w:t>
      </w:r>
      <w:r>
        <w:rPr>
          <w:rFonts w:hint="eastAsia" w:ascii="仿宋" w:hAnsi="宋体" w:eastAsia="仿宋" w:cs="宋体"/>
          <w:sz w:val="24"/>
          <w:highlight w:val="none"/>
        </w:rPr>
        <w:t>元×</w:t>
      </w:r>
      <w:r>
        <w:rPr>
          <w:rFonts w:hint="eastAsia" w:ascii="仿宋" w:hAnsi="宋体" w:eastAsia="仿宋" w:cs="宋体"/>
          <w:sz w:val="24"/>
          <w:highlight w:val="none"/>
          <w:lang w:val="en-US" w:eastAsia="zh-CN"/>
        </w:rPr>
        <w:t>1396</w:t>
      </w:r>
      <w:r>
        <w:rPr>
          <w:rFonts w:hint="eastAsia" w:ascii="仿宋" w:hAnsi="宋体" w:eastAsia="仿宋" w:cs="宋体"/>
          <w:sz w:val="24"/>
          <w:highlight w:val="none"/>
        </w:rPr>
        <w:t>人），最终按实结算。</w:t>
      </w:r>
    </w:p>
    <w:p w14:paraId="1792B22A">
      <w:pPr>
        <w:spacing w:line="560" w:lineRule="exact"/>
        <w:ind w:firstLine="482"/>
        <w:jc w:val="left"/>
        <w:rPr>
          <w:rFonts w:hint="eastAsia" w:ascii="仿宋" w:hAnsi="宋体" w:eastAsia="仿宋" w:cs="宋体"/>
          <w:sz w:val="24"/>
          <w:highlight w:val="none"/>
        </w:rPr>
      </w:pPr>
      <w:r>
        <w:rPr>
          <w:rFonts w:hint="eastAsia" w:ascii="仿宋" w:hAnsi="宋体" w:eastAsia="仿宋" w:cs="宋体"/>
          <w:sz w:val="24"/>
          <w:highlight w:val="none"/>
        </w:rPr>
        <w:t>2. 价格明细：</w:t>
      </w:r>
    </w:p>
    <w:tbl>
      <w:tblPr>
        <w:tblStyle w:val="7"/>
        <w:tblW w:w="8633" w:type="dxa"/>
        <w:tblInd w:w="-9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83"/>
        <w:gridCol w:w="1215"/>
        <w:gridCol w:w="1125"/>
        <w:gridCol w:w="1645"/>
        <w:gridCol w:w="1865"/>
      </w:tblGrid>
      <w:tr w14:paraId="63F5A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5" w:hRule="atLeast"/>
        </w:trPr>
        <w:tc>
          <w:tcPr>
            <w:tcW w:w="2783" w:type="dxa"/>
            <w:tcBorders>
              <w:left w:val="single" w:color="000000" w:sz="10" w:space="0"/>
              <w:right w:val="single" w:color="000000" w:sz="2" w:space="0"/>
            </w:tcBorders>
            <w:vAlign w:val="center"/>
          </w:tcPr>
          <w:p w14:paraId="5736FCF4">
            <w:pPr>
              <w:pStyle w:val="6"/>
              <w:spacing w:before="85" w:line="22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2"/>
                <w:highlight w:val="none"/>
              </w:rPr>
              <w:t>校服类别</w:t>
            </w:r>
          </w:p>
        </w:tc>
        <w:tc>
          <w:tcPr>
            <w:tcW w:w="1215" w:type="dxa"/>
            <w:tcBorders>
              <w:left w:val="single" w:color="000000" w:sz="2" w:space="0"/>
              <w:right w:val="single" w:color="000000" w:sz="2" w:space="0"/>
            </w:tcBorders>
            <w:vAlign w:val="center"/>
          </w:tcPr>
          <w:p w14:paraId="15041B2F">
            <w:pPr>
              <w:pStyle w:val="6"/>
              <w:spacing w:before="85" w:line="22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6"/>
                <w:highlight w:val="none"/>
              </w:rPr>
              <w:t>单价限价（元）</w:t>
            </w:r>
          </w:p>
        </w:tc>
        <w:tc>
          <w:tcPr>
            <w:tcW w:w="1125" w:type="dxa"/>
            <w:tcBorders>
              <w:left w:val="single" w:color="000000" w:sz="2" w:space="0"/>
              <w:right w:val="single" w:color="000000" w:sz="2" w:space="0"/>
            </w:tcBorders>
            <w:vAlign w:val="center"/>
          </w:tcPr>
          <w:p w14:paraId="5ED25414">
            <w:pPr>
              <w:pStyle w:val="6"/>
              <w:spacing w:before="85" w:line="218"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6"/>
                <w:highlight w:val="none"/>
              </w:rPr>
              <w:t>数量</w:t>
            </w:r>
          </w:p>
        </w:tc>
        <w:tc>
          <w:tcPr>
            <w:tcW w:w="1645" w:type="dxa"/>
            <w:tcBorders>
              <w:left w:val="single" w:color="000000" w:sz="2" w:space="0"/>
              <w:right w:val="single" w:color="000000" w:sz="2" w:space="0"/>
            </w:tcBorders>
            <w:vAlign w:val="center"/>
          </w:tcPr>
          <w:p w14:paraId="79480AEA">
            <w:pPr>
              <w:pStyle w:val="6"/>
              <w:spacing w:before="87" w:line="220"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2"/>
                <w:highlight w:val="none"/>
              </w:rPr>
              <w:t>合计金额（元）</w:t>
            </w:r>
          </w:p>
        </w:tc>
        <w:tc>
          <w:tcPr>
            <w:tcW w:w="1865" w:type="dxa"/>
            <w:tcBorders>
              <w:left w:val="single" w:color="000000" w:sz="2" w:space="0"/>
              <w:right w:val="single" w:color="000000" w:sz="10" w:space="0"/>
            </w:tcBorders>
            <w:vAlign w:val="center"/>
          </w:tcPr>
          <w:p w14:paraId="37325E59">
            <w:pPr>
              <w:pStyle w:val="6"/>
              <w:spacing w:before="85" w:line="219" w:lineRule="auto"/>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1"/>
                <w:highlight w:val="none"/>
              </w:rPr>
              <w:t>采购年级及学生数</w:t>
            </w:r>
          </w:p>
        </w:tc>
      </w:tr>
      <w:tr w14:paraId="307E4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shd w:val="clear" w:color="auto" w:fill="auto"/>
            <w:vAlign w:val="center"/>
          </w:tcPr>
          <w:p w14:paraId="2AAFBA56">
            <w:pPr>
              <w:jc w:val="center"/>
              <w:rPr>
                <w:rFonts w:hint="eastAsia"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短袖T恤(夏装)</w:t>
            </w:r>
          </w:p>
        </w:tc>
        <w:tc>
          <w:tcPr>
            <w:tcW w:w="1215" w:type="dxa"/>
            <w:tcBorders>
              <w:left w:val="single" w:color="000000" w:sz="2" w:space="0"/>
              <w:right w:val="single" w:color="000000" w:sz="2" w:space="0"/>
            </w:tcBorders>
            <w:vAlign w:val="center"/>
          </w:tcPr>
          <w:p w14:paraId="4947A44E">
            <w:pPr>
              <w:jc w:val="center"/>
              <w:rPr>
                <w:rFonts w:hint="default" w:ascii="方正仿宋_GB2312" w:hAnsi="方正仿宋_GB2312" w:eastAsia="方正仿宋_GB2312" w:cs="方正仿宋_GB2312"/>
                <w:sz w:val="24"/>
                <w:highlight w:val="none"/>
                <w:lang w:val="en-US"/>
              </w:rPr>
            </w:pPr>
            <w:r>
              <w:rPr>
                <w:rFonts w:hint="eastAsia" w:ascii="方正仿宋_GB2312" w:hAnsi="方正仿宋_GB2312" w:eastAsia="方正仿宋_GB2312" w:cs="方正仿宋_GB2312"/>
                <w:sz w:val="24"/>
                <w:highlight w:val="none"/>
                <w:lang w:val="en-US" w:eastAsia="zh-CN"/>
              </w:rPr>
              <w:t>55</w:t>
            </w:r>
          </w:p>
        </w:tc>
        <w:tc>
          <w:tcPr>
            <w:tcW w:w="1125" w:type="dxa"/>
            <w:tcBorders>
              <w:left w:val="single" w:color="000000" w:sz="2" w:space="0"/>
              <w:right w:val="single" w:color="000000" w:sz="2" w:space="0"/>
            </w:tcBorders>
            <w:vAlign w:val="center"/>
          </w:tcPr>
          <w:p w14:paraId="12C72614">
            <w:pPr>
              <w:jc w:val="center"/>
              <w:rPr>
                <w:rFonts w:hint="default"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1396</w:t>
            </w:r>
          </w:p>
        </w:tc>
        <w:tc>
          <w:tcPr>
            <w:tcW w:w="1645" w:type="dxa"/>
            <w:tcBorders>
              <w:left w:val="single" w:color="000000" w:sz="2" w:space="0"/>
              <w:right w:val="single" w:color="000000" w:sz="2" w:space="0"/>
            </w:tcBorders>
            <w:vAlign w:val="center"/>
          </w:tcPr>
          <w:p w14:paraId="14F0CC10">
            <w:pPr>
              <w:jc w:val="center"/>
              <w:rPr>
                <w:rFonts w:hint="default"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76780</w:t>
            </w:r>
          </w:p>
        </w:tc>
        <w:tc>
          <w:tcPr>
            <w:tcW w:w="1865" w:type="dxa"/>
            <w:vMerge w:val="restart"/>
            <w:tcBorders>
              <w:left w:val="single" w:color="000000" w:sz="2" w:space="0"/>
              <w:bottom w:val="nil"/>
              <w:right w:val="single" w:color="000000" w:sz="10" w:space="0"/>
            </w:tcBorders>
            <w:vAlign w:val="center"/>
          </w:tcPr>
          <w:p w14:paraId="121FE272">
            <w:pPr>
              <w:jc w:val="center"/>
              <w:rPr>
                <w:rFonts w:hint="default" w:eastAsia="宋体"/>
                <w:sz w:val="24"/>
                <w:szCs w:val="24"/>
                <w:lang w:val="en-US" w:eastAsia="zh-CN"/>
              </w:rPr>
            </w:pPr>
            <w:r>
              <w:rPr>
                <w:rFonts w:hint="eastAsia" w:eastAsia="宋体"/>
                <w:sz w:val="24"/>
                <w:szCs w:val="24"/>
                <w:lang w:val="en-US" w:eastAsia="zh-CN"/>
              </w:rPr>
              <w:t>一年级：648</w:t>
            </w:r>
          </w:p>
          <w:p w14:paraId="17AE118D">
            <w:pPr>
              <w:jc w:val="center"/>
              <w:rPr>
                <w:rFonts w:hint="default" w:ascii="方正仿宋_GB2312" w:hAnsi="方正仿宋_GB2312" w:eastAsia="方正仿宋_GB2312" w:cs="方正仿宋_GB2312"/>
                <w:sz w:val="24"/>
                <w:highlight w:val="none"/>
                <w:lang w:val="en-US"/>
              </w:rPr>
            </w:pPr>
            <w:r>
              <w:rPr>
                <w:rFonts w:hint="eastAsia" w:eastAsia="宋体"/>
                <w:sz w:val="24"/>
                <w:szCs w:val="24"/>
                <w:lang w:val="en-US" w:eastAsia="zh-CN"/>
              </w:rPr>
              <w:t>四年级：748</w:t>
            </w:r>
          </w:p>
        </w:tc>
      </w:tr>
      <w:tr w14:paraId="2C4C9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shd w:val="clear" w:color="auto" w:fill="auto"/>
            <w:vAlign w:val="center"/>
          </w:tcPr>
          <w:p w14:paraId="79B5D712">
            <w:pPr>
              <w:jc w:val="center"/>
              <w:rPr>
                <w:rFonts w:hint="eastAsia"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男短裤/女短裙（夏装）</w:t>
            </w:r>
          </w:p>
        </w:tc>
        <w:tc>
          <w:tcPr>
            <w:tcW w:w="1215" w:type="dxa"/>
            <w:tcBorders>
              <w:left w:val="single" w:color="000000" w:sz="2" w:space="0"/>
              <w:right w:val="single" w:color="000000" w:sz="2" w:space="0"/>
            </w:tcBorders>
            <w:vAlign w:val="center"/>
          </w:tcPr>
          <w:p w14:paraId="75698869">
            <w:pPr>
              <w:jc w:val="center"/>
              <w:rPr>
                <w:rFonts w:hint="default" w:ascii="方正仿宋_GB2312" w:hAnsi="方正仿宋_GB2312" w:eastAsia="方正仿宋_GB2312" w:cs="方正仿宋_GB2312"/>
                <w:sz w:val="24"/>
                <w:highlight w:val="none"/>
                <w:lang w:val="en-US"/>
              </w:rPr>
            </w:pPr>
            <w:r>
              <w:rPr>
                <w:rFonts w:hint="eastAsia" w:ascii="方正仿宋_GB2312" w:hAnsi="方正仿宋_GB2312" w:eastAsia="方正仿宋_GB2312" w:cs="方正仿宋_GB2312"/>
                <w:sz w:val="24"/>
                <w:highlight w:val="none"/>
                <w:lang w:val="en-US" w:eastAsia="zh-CN"/>
              </w:rPr>
              <w:t>60</w:t>
            </w:r>
          </w:p>
        </w:tc>
        <w:tc>
          <w:tcPr>
            <w:tcW w:w="1125" w:type="dxa"/>
            <w:tcBorders>
              <w:left w:val="single" w:color="000000" w:sz="2" w:space="0"/>
              <w:right w:val="single" w:color="000000" w:sz="2" w:space="0"/>
            </w:tcBorders>
            <w:vAlign w:val="center"/>
          </w:tcPr>
          <w:p w14:paraId="47FBFD2C">
            <w:pPr>
              <w:jc w:val="center"/>
              <w:rPr>
                <w:rFonts w:hint="default"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1396</w:t>
            </w:r>
          </w:p>
        </w:tc>
        <w:tc>
          <w:tcPr>
            <w:tcW w:w="1645" w:type="dxa"/>
            <w:tcBorders>
              <w:left w:val="single" w:color="000000" w:sz="2" w:space="0"/>
              <w:right w:val="single" w:color="000000" w:sz="2" w:space="0"/>
            </w:tcBorders>
            <w:vAlign w:val="center"/>
          </w:tcPr>
          <w:p w14:paraId="27515D81">
            <w:pPr>
              <w:jc w:val="center"/>
              <w:rPr>
                <w:rFonts w:hint="default"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83760</w:t>
            </w:r>
          </w:p>
        </w:tc>
        <w:tc>
          <w:tcPr>
            <w:tcW w:w="1865" w:type="dxa"/>
            <w:vMerge w:val="continue"/>
            <w:tcBorders>
              <w:top w:val="nil"/>
              <w:left w:val="single" w:color="000000" w:sz="2" w:space="0"/>
              <w:bottom w:val="nil"/>
              <w:right w:val="single" w:color="000000" w:sz="10" w:space="0"/>
            </w:tcBorders>
            <w:vAlign w:val="center"/>
          </w:tcPr>
          <w:p w14:paraId="6D92947D">
            <w:pPr>
              <w:jc w:val="center"/>
              <w:rPr>
                <w:rFonts w:hint="eastAsia" w:ascii="方正仿宋_GB2312" w:hAnsi="方正仿宋_GB2312" w:eastAsia="方正仿宋_GB2312" w:cs="方正仿宋_GB2312"/>
                <w:sz w:val="24"/>
                <w:highlight w:val="none"/>
              </w:rPr>
            </w:pPr>
          </w:p>
        </w:tc>
      </w:tr>
      <w:tr w14:paraId="63056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shd w:val="clear" w:color="auto" w:fill="auto"/>
            <w:vAlign w:val="center"/>
          </w:tcPr>
          <w:p w14:paraId="567EED11">
            <w:pPr>
              <w:jc w:val="center"/>
              <w:rPr>
                <w:rFonts w:hint="eastAsia" w:ascii="方正仿宋_GB2312" w:hAnsi="方正仿宋_GB2312" w:eastAsia="方正仿宋_GB2312" w:cs="方正仿宋_GB2312"/>
                <w:sz w:val="24"/>
                <w:highlight w:val="none"/>
                <w:lang w:val="en-US" w:eastAsia="en-US"/>
              </w:rPr>
            </w:pPr>
            <w:r>
              <w:rPr>
                <w:rFonts w:hint="eastAsia" w:ascii="方正仿宋_GB2312" w:hAnsi="方正仿宋_GB2312" w:eastAsia="方正仿宋_GB2312" w:cs="方正仿宋_GB2312"/>
                <w:sz w:val="24"/>
                <w:highlight w:val="none"/>
                <w:lang w:val="en-US" w:eastAsia="zh-CN"/>
              </w:rPr>
              <w:t>运动上衣(春秋装)</w:t>
            </w:r>
          </w:p>
        </w:tc>
        <w:tc>
          <w:tcPr>
            <w:tcW w:w="1215" w:type="dxa"/>
            <w:tcBorders>
              <w:left w:val="single" w:color="000000" w:sz="2" w:space="0"/>
              <w:right w:val="single" w:color="000000" w:sz="2" w:space="0"/>
            </w:tcBorders>
            <w:vAlign w:val="center"/>
          </w:tcPr>
          <w:p w14:paraId="1EC55787">
            <w:pPr>
              <w:jc w:val="center"/>
              <w:rPr>
                <w:rFonts w:hint="default" w:ascii="方正仿宋_GB2312" w:hAnsi="方正仿宋_GB2312" w:eastAsia="方正仿宋_GB2312" w:cs="方正仿宋_GB2312"/>
                <w:sz w:val="24"/>
                <w:highlight w:val="none"/>
                <w:lang w:val="en-US"/>
              </w:rPr>
            </w:pPr>
            <w:r>
              <w:rPr>
                <w:rFonts w:hint="eastAsia" w:ascii="方正仿宋_GB2312" w:hAnsi="方正仿宋_GB2312" w:eastAsia="方正仿宋_GB2312" w:cs="方正仿宋_GB2312"/>
                <w:sz w:val="24"/>
                <w:highlight w:val="none"/>
                <w:lang w:val="en-US" w:eastAsia="zh-CN"/>
              </w:rPr>
              <w:t>110</w:t>
            </w:r>
          </w:p>
        </w:tc>
        <w:tc>
          <w:tcPr>
            <w:tcW w:w="1125" w:type="dxa"/>
            <w:tcBorders>
              <w:left w:val="single" w:color="000000" w:sz="2" w:space="0"/>
              <w:right w:val="single" w:color="000000" w:sz="2" w:space="0"/>
            </w:tcBorders>
            <w:vAlign w:val="center"/>
          </w:tcPr>
          <w:p w14:paraId="45003D77">
            <w:pPr>
              <w:jc w:val="center"/>
              <w:rPr>
                <w:rFonts w:hint="default"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1396</w:t>
            </w:r>
          </w:p>
        </w:tc>
        <w:tc>
          <w:tcPr>
            <w:tcW w:w="1645" w:type="dxa"/>
            <w:tcBorders>
              <w:left w:val="single" w:color="000000" w:sz="2" w:space="0"/>
              <w:right w:val="single" w:color="000000" w:sz="2" w:space="0"/>
            </w:tcBorders>
            <w:vAlign w:val="center"/>
          </w:tcPr>
          <w:p w14:paraId="751B3965">
            <w:pPr>
              <w:jc w:val="center"/>
              <w:rPr>
                <w:rFonts w:hint="default"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153560</w:t>
            </w:r>
          </w:p>
        </w:tc>
        <w:tc>
          <w:tcPr>
            <w:tcW w:w="1865" w:type="dxa"/>
            <w:vMerge w:val="continue"/>
            <w:tcBorders>
              <w:top w:val="nil"/>
              <w:left w:val="single" w:color="000000" w:sz="2" w:space="0"/>
              <w:bottom w:val="nil"/>
              <w:right w:val="single" w:color="000000" w:sz="10" w:space="0"/>
            </w:tcBorders>
            <w:vAlign w:val="center"/>
          </w:tcPr>
          <w:p w14:paraId="00495E71">
            <w:pPr>
              <w:jc w:val="center"/>
              <w:rPr>
                <w:rFonts w:hint="eastAsia" w:ascii="方正仿宋_GB2312" w:hAnsi="方正仿宋_GB2312" w:eastAsia="方正仿宋_GB2312" w:cs="方正仿宋_GB2312"/>
                <w:sz w:val="24"/>
                <w:highlight w:val="none"/>
              </w:rPr>
            </w:pPr>
          </w:p>
        </w:tc>
      </w:tr>
      <w:tr w14:paraId="1A39E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8" w:hRule="atLeast"/>
        </w:trPr>
        <w:tc>
          <w:tcPr>
            <w:tcW w:w="2783" w:type="dxa"/>
            <w:tcBorders>
              <w:left w:val="single" w:color="000000" w:sz="10" w:space="0"/>
              <w:right w:val="single" w:color="000000" w:sz="2" w:space="0"/>
            </w:tcBorders>
            <w:shd w:val="clear" w:color="auto" w:fill="auto"/>
            <w:vAlign w:val="center"/>
          </w:tcPr>
          <w:p w14:paraId="0B4FDEE6">
            <w:pPr>
              <w:jc w:val="center"/>
              <w:rPr>
                <w:rFonts w:hint="eastAsia" w:ascii="方正仿宋_GB2312" w:hAnsi="方正仿宋_GB2312" w:eastAsia="方正仿宋_GB2312" w:cs="方正仿宋_GB2312"/>
                <w:sz w:val="24"/>
                <w:highlight w:val="none"/>
                <w:lang w:val="en-US" w:eastAsia="en-US"/>
              </w:rPr>
            </w:pPr>
            <w:r>
              <w:rPr>
                <w:rFonts w:hint="eastAsia" w:ascii="方正仿宋_GB2312" w:hAnsi="方正仿宋_GB2312" w:eastAsia="方正仿宋_GB2312" w:cs="方正仿宋_GB2312"/>
                <w:sz w:val="24"/>
                <w:highlight w:val="none"/>
                <w:lang w:val="en-US" w:eastAsia="zh-CN"/>
              </w:rPr>
              <w:t>运动长裤(春秋装)</w:t>
            </w:r>
          </w:p>
        </w:tc>
        <w:tc>
          <w:tcPr>
            <w:tcW w:w="1215" w:type="dxa"/>
            <w:tcBorders>
              <w:left w:val="single" w:color="000000" w:sz="2" w:space="0"/>
              <w:right w:val="single" w:color="000000" w:sz="2" w:space="0"/>
            </w:tcBorders>
            <w:vAlign w:val="center"/>
          </w:tcPr>
          <w:p w14:paraId="418993FD">
            <w:pPr>
              <w:jc w:val="center"/>
              <w:rPr>
                <w:rFonts w:hint="default" w:ascii="方正仿宋_GB2312" w:hAnsi="方正仿宋_GB2312" w:eastAsia="方正仿宋_GB2312" w:cs="方正仿宋_GB2312"/>
                <w:sz w:val="24"/>
                <w:highlight w:val="none"/>
                <w:lang w:val="en-US"/>
              </w:rPr>
            </w:pPr>
            <w:r>
              <w:rPr>
                <w:rFonts w:hint="eastAsia" w:ascii="方正仿宋_GB2312" w:hAnsi="方正仿宋_GB2312" w:eastAsia="方正仿宋_GB2312" w:cs="方正仿宋_GB2312"/>
                <w:sz w:val="24"/>
                <w:highlight w:val="none"/>
                <w:lang w:val="en-US" w:eastAsia="zh-CN"/>
              </w:rPr>
              <w:t>80</w:t>
            </w:r>
          </w:p>
        </w:tc>
        <w:tc>
          <w:tcPr>
            <w:tcW w:w="1125" w:type="dxa"/>
            <w:tcBorders>
              <w:left w:val="single" w:color="000000" w:sz="2" w:space="0"/>
              <w:right w:val="single" w:color="000000" w:sz="2" w:space="0"/>
            </w:tcBorders>
            <w:vAlign w:val="center"/>
          </w:tcPr>
          <w:p w14:paraId="71D6A0F8">
            <w:pPr>
              <w:jc w:val="center"/>
              <w:rPr>
                <w:rFonts w:hint="default"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1396</w:t>
            </w:r>
          </w:p>
        </w:tc>
        <w:tc>
          <w:tcPr>
            <w:tcW w:w="1645" w:type="dxa"/>
            <w:tcBorders>
              <w:left w:val="single" w:color="000000" w:sz="2" w:space="0"/>
              <w:right w:val="single" w:color="000000" w:sz="2" w:space="0"/>
            </w:tcBorders>
            <w:vAlign w:val="center"/>
          </w:tcPr>
          <w:p w14:paraId="17D480CA">
            <w:pPr>
              <w:jc w:val="center"/>
              <w:rPr>
                <w:rFonts w:hint="default"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111680</w:t>
            </w:r>
          </w:p>
        </w:tc>
        <w:tc>
          <w:tcPr>
            <w:tcW w:w="1865" w:type="dxa"/>
            <w:vMerge w:val="continue"/>
            <w:tcBorders>
              <w:top w:val="nil"/>
              <w:left w:val="single" w:color="000000" w:sz="2" w:space="0"/>
              <w:bottom w:val="nil"/>
              <w:right w:val="single" w:color="000000" w:sz="10" w:space="0"/>
            </w:tcBorders>
            <w:vAlign w:val="center"/>
          </w:tcPr>
          <w:p w14:paraId="0B695875">
            <w:pPr>
              <w:jc w:val="center"/>
              <w:rPr>
                <w:rFonts w:hint="eastAsia" w:ascii="方正仿宋_GB2312" w:hAnsi="方正仿宋_GB2312" w:eastAsia="方正仿宋_GB2312" w:cs="方正仿宋_GB2312"/>
                <w:sz w:val="24"/>
                <w:highlight w:val="none"/>
              </w:rPr>
            </w:pPr>
          </w:p>
        </w:tc>
      </w:tr>
      <w:tr w14:paraId="1F230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7" w:hRule="atLeast"/>
        </w:trPr>
        <w:tc>
          <w:tcPr>
            <w:tcW w:w="2783" w:type="dxa"/>
            <w:tcBorders>
              <w:left w:val="single" w:color="000000" w:sz="10" w:space="0"/>
              <w:right w:val="single" w:color="000000" w:sz="2" w:space="0"/>
            </w:tcBorders>
            <w:shd w:val="clear" w:color="auto" w:fill="auto"/>
            <w:vAlign w:val="center"/>
          </w:tcPr>
          <w:p w14:paraId="1DF097AC">
            <w:pPr>
              <w:jc w:val="center"/>
              <w:rPr>
                <w:rFonts w:hint="eastAsia" w:ascii="方正仿宋_GB2312" w:hAnsi="方正仿宋_GB2312" w:eastAsia="方正仿宋_GB2312" w:cs="方正仿宋_GB2312"/>
                <w:sz w:val="24"/>
                <w:highlight w:val="none"/>
                <w:lang w:val="en-US" w:eastAsia="en-US"/>
              </w:rPr>
            </w:pPr>
            <w:r>
              <w:rPr>
                <w:rFonts w:hint="eastAsia" w:ascii="方正仿宋_GB2312" w:hAnsi="方正仿宋_GB2312" w:eastAsia="方正仿宋_GB2312" w:cs="方正仿宋_GB2312"/>
                <w:sz w:val="24"/>
                <w:highlight w:val="none"/>
                <w:lang w:val="en-US" w:eastAsia="zh-CN"/>
              </w:rPr>
              <w:t>冬季外衣（冬装）</w:t>
            </w:r>
          </w:p>
        </w:tc>
        <w:tc>
          <w:tcPr>
            <w:tcW w:w="1215" w:type="dxa"/>
            <w:tcBorders>
              <w:left w:val="single" w:color="000000" w:sz="2" w:space="0"/>
              <w:right w:val="single" w:color="000000" w:sz="2" w:space="0"/>
            </w:tcBorders>
            <w:vAlign w:val="center"/>
          </w:tcPr>
          <w:p w14:paraId="719B2900">
            <w:pPr>
              <w:jc w:val="center"/>
              <w:rPr>
                <w:rFonts w:hint="default"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200</w:t>
            </w:r>
          </w:p>
        </w:tc>
        <w:tc>
          <w:tcPr>
            <w:tcW w:w="1125" w:type="dxa"/>
            <w:tcBorders>
              <w:left w:val="single" w:color="000000" w:sz="2" w:space="0"/>
              <w:right w:val="single" w:color="000000" w:sz="2" w:space="0"/>
            </w:tcBorders>
            <w:vAlign w:val="center"/>
          </w:tcPr>
          <w:p w14:paraId="2A88819B">
            <w:pPr>
              <w:jc w:val="center"/>
              <w:rPr>
                <w:rFonts w:hint="default"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1396</w:t>
            </w:r>
          </w:p>
        </w:tc>
        <w:tc>
          <w:tcPr>
            <w:tcW w:w="1645" w:type="dxa"/>
            <w:tcBorders>
              <w:left w:val="single" w:color="000000" w:sz="2" w:space="0"/>
              <w:right w:val="single" w:color="000000" w:sz="2" w:space="0"/>
            </w:tcBorders>
            <w:vAlign w:val="center"/>
          </w:tcPr>
          <w:p w14:paraId="4A78F019">
            <w:pPr>
              <w:jc w:val="center"/>
              <w:rPr>
                <w:rFonts w:hint="default"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279200</w:t>
            </w:r>
          </w:p>
        </w:tc>
        <w:tc>
          <w:tcPr>
            <w:tcW w:w="1865" w:type="dxa"/>
            <w:vMerge w:val="continue"/>
            <w:tcBorders>
              <w:top w:val="nil"/>
              <w:left w:val="single" w:color="000000" w:sz="2" w:space="0"/>
              <w:bottom w:val="nil"/>
              <w:right w:val="single" w:color="000000" w:sz="10" w:space="0"/>
            </w:tcBorders>
            <w:vAlign w:val="center"/>
          </w:tcPr>
          <w:p w14:paraId="5D5B2E75">
            <w:pPr>
              <w:jc w:val="center"/>
              <w:rPr>
                <w:rFonts w:hint="eastAsia" w:ascii="方正仿宋_GB2312" w:hAnsi="方正仿宋_GB2312" w:eastAsia="方正仿宋_GB2312" w:cs="方正仿宋_GB2312"/>
                <w:sz w:val="24"/>
                <w:highlight w:val="none"/>
              </w:rPr>
            </w:pPr>
          </w:p>
        </w:tc>
      </w:tr>
      <w:tr w14:paraId="4F739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0" w:hRule="atLeast"/>
        </w:trPr>
        <w:tc>
          <w:tcPr>
            <w:tcW w:w="2783" w:type="dxa"/>
            <w:tcBorders>
              <w:left w:val="single" w:color="000000" w:sz="10" w:space="0"/>
              <w:right w:val="single" w:color="000000" w:sz="2" w:space="0"/>
            </w:tcBorders>
            <w:shd w:val="clear" w:color="auto" w:fill="auto"/>
            <w:vAlign w:val="center"/>
          </w:tcPr>
          <w:p w14:paraId="20ABBBAC">
            <w:pPr>
              <w:jc w:val="center"/>
              <w:rPr>
                <w:rFonts w:hint="eastAsia"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冬季内胆（冬装）</w:t>
            </w:r>
          </w:p>
        </w:tc>
        <w:tc>
          <w:tcPr>
            <w:tcW w:w="1215" w:type="dxa"/>
            <w:tcBorders>
              <w:left w:val="single" w:color="000000" w:sz="2" w:space="0"/>
              <w:right w:val="single" w:color="000000" w:sz="2" w:space="0"/>
            </w:tcBorders>
            <w:vAlign w:val="center"/>
          </w:tcPr>
          <w:p w14:paraId="47DDAAFF">
            <w:pPr>
              <w:jc w:val="center"/>
              <w:rPr>
                <w:rFonts w:hint="eastAsia" w:ascii="方正仿宋_GB2312" w:hAnsi="方正仿宋_GB2312" w:eastAsia="方正仿宋_GB2312" w:cs="方正仿宋_GB2312"/>
                <w:sz w:val="24"/>
                <w:highlight w:val="none"/>
                <w:lang w:val="en-US" w:eastAsia="en-US"/>
              </w:rPr>
            </w:pPr>
            <w:r>
              <w:rPr>
                <w:rFonts w:hint="eastAsia" w:ascii="方正仿宋_GB2312" w:hAnsi="方正仿宋_GB2312" w:eastAsia="方正仿宋_GB2312" w:cs="方正仿宋_GB2312"/>
                <w:sz w:val="24"/>
                <w:highlight w:val="none"/>
                <w:lang w:val="en-US" w:eastAsia="zh-CN"/>
              </w:rPr>
              <w:t>60</w:t>
            </w:r>
          </w:p>
        </w:tc>
        <w:tc>
          <w:tcPr>
            <w:tcW w:w="1125" w:type="dxa"/>
            <w:tcBorders>
              <w:left w:val="single" w:color="000000" w:sz="2" w:space="0"/>
              <w:right w:val="single" w:color="000000" w:sz="2" w:space="0"/>
            </w:tcBorders>
            <w:vAlign w:val="center"/>
          </w:tcPr>
          <w:p w14:paraId="3296D843">
            <w:pPr>
              <w:jc w:val="center"/>
              <w:rPr>
                <w:rFonts w:hint="default"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1396</w:t>
            </w:r>
          </w:p>
        </w:tc>
        <w:tc>
          <w:tcPr>
            <w:tcW w:w="1645" w:type="dxa"/>
            <w:tcBorders>
              <w:left w:val="single" w:color="000000" w:sz="2" w:space="0"/>
              <w:right w:val="single" w:color="000000" w:sz="2" w:space="0"/>
            </w:tcBorders>
            <w:vAlign w:val="center"/>
          </w:tcPr>
          <w:p w14:paraId="680D2641">
            <w:pPr>
              <w:jc w:val="center"/>
              <w:rPr>
                <w:rFonts w:hint="default"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83760</w:t>
            </w:r>
          </w:p>
        </w:tc>
        <w:tc>
          <w:tcPr>
            <w:tcW w:w="1865" w:type="dxa"/>
            <w:vMerge w:val="continue"/>
            <w:tcBorders>
              <w:top w:val="nil"/>
              <w:left w:val="single" w:color="000000" w:sz="2" w:space="0"/>
              <w:bottom w:val="nil"/>
              <w:right w:val="single" w:color="000000" w:sz="10" w:space="0"/>
            </w:tcBorders>
            <w:vAlign w:val="center"/>
          </w:tcPr>
          <w:p w14:paraId="5B835E35">
            <w:pPr>
              <w:jc w:val="center"/>
              <w:rPr>
                <w:rFonts w:hint="eastAsia" w:ascii="方正仿宋_GB2312" w:hAnsi="方正仿宋_GB2312" w:eastAsia="方正仿宋_GB2312" w:cs="方正仿宋_GB2312"/>
                <w:sz w:val="24"/>
                <w:highlight w:val="none"/>
              </w:rPr>
            </w:pPr>
          </w:p>
        </w:tc>
      </w:tr>
      <w:tr w14:paraId="5F8A6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4" w:hRule="atLeast"/>
        </w:trPr>
        <w:tc>
          <w:tcPr>
            <w:tcW w:w="5123" w:type="dxa"/>
            <w:gridSpan w:val="3"/>
            <w:tcBorders>
              <w:left w:val="single" w:color="000000" w:sz="10" w:space="0"/>
              <w:right w:val="single" w:color="000000" w:sz="2" w:space="0"/>
            </w:tcBorders>
            <w:vAlign w:val="center"/>
          </w:tcPr>
          <w:p w14:paraId="5610F735">
            <w:pPr>
              <w:pStyle w:val="6"/>
              <w:spacing w:before="93" w:line="221" w:lineRule="auto"/>
              <w:ind w:left="4446"/>
              <w:jc w:val="center"/>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spacing w:val="-6"/>
                <w:highlight w:val="none"/>
              </w:rPr>
              <w:t>合计</w:t>
            </w:r>
          </w:p>
        </w:tc>
        <w:tc>
          <w:tcPr>
            <w:tcW w:w="1645" w:type="dxa"/>
            <w:tcBorders>
              <w:left w:val="single" w:color="000000" w:sz="2" w:space="0"/>
              <w:right w:val="single" w:color="000000" w:sz="2" w:space="0"/>
            </w:tcBorders>
            <w:vAlign w:val="center"/>
          </w:tcPr>
          <w:p w14:paraId="7A15A8D3">
            <w:pPr>
              <w:jc w:val="center"/>
              <w:rPr>
                <w:rFonts w:hint="default" w:ascii="方正仿宋_GB2312" w:hAnsi="方正仿宋_GB2312" w:eastAsia="方正仿宋_GB2312" w:cs="方正仿宋_GB2312"/>
                <w:sz w:val="24"/>
                <w:highlight w:val="none"/>
                <w:lang w:val="en-US" w:eastAsia="zh-CN"/>
              </w:rPr>
            </w:pPr>
            <w:r>
              <w:rPr>
                <w:rFonts w:hint="eastAsia" w:ascii="方正仿宋_GB2312" w:hAnsi="方正仿宋_GB2312" w:eastAsia="方正仿宋_GB2312" w:cs="方正仿宋_GB2312"/>
                <w:sz w:val="24"/>
                <w:highlight w:val="none"/>
                <w:lang w:val="en-US" w:eastAsia="zh-CN"/>
              </w:rPr>
              <w:t>788740</w:t>
            </w:r>
          </w:p>
        </w:tc>
        <w:tc>
          <w:tcPr>
            <w:tcW w:w="1865" w:type="dxa"/>
            <w:vMerge w:val="continue"/>
            <w:tcBorders>
              <w:top w:val="nil"/>
              <w:left w:val="single" w:color="000000" w:sz="2" w:space="0"/>
              <w:right w:val="single" w:color="000000" w:sz="10" w:space="0"/>
            </w:tcBorders>
            <w:vAlign w:val="center"/>
          </w:tcPr>
          <w:p w14:paraId="5C46E594">
            <w:pPr>
              <w:jc w:val="center"/>
              <w:rPr>
                <w:rFonts w:hint="eastAsia" w:ascii="方正仿宋_GB2312" w:hAnsi="方正仿宋_GB2312" w:eastAsia="方正仿宋_GB2312" w:cs="方正仿宋_GB2312"/>
                <w:sz w:val="24"/>
                <w:highlight w:val="none"/>
              </w:rPr>
            </w:pPr>
          </w:p>
        </w:tc>
      </w:tr>
    </w:tbl>
    <w:p w14:paraId="5AA0F90C">
      <w:pPr>
        <w:spacing w:before="200" w:after="100"/>
        <w:jc w:val="left"/>
        <w:outlineLvl w:val="1"/>
        <w:rPr>
          <w:rFonts w:ascii="楷体" w:hAnsi="宋体" w:eastAsia="楷体" w:cs="宋体"/>
          <w:sz w:val="32"/>
        </w:rPr>
      </w:pPr>
      <w:r>
        <w:rPr>
          <w:rFonts w:hint="eastAsia" w:ascii="楷体" w:hAnsi="宋体" w:eastAsia="楷体" w:cs="宋体"/>
          <w:sz w:val="32"/>
        </w:rPr>
        <w:t>（</w:t>
      </w:r>
      <w:r>
        <w:rPr>
          <w:rFonts w:hint="eastAsia" w:ascii="楷体" w:hAnsi="宋体" w:eastAsia="楷体" w:cs="宋体"/>
          <w:sz w:val="32"/>
          <w:lang w:val="en-US" w:eastAsia="zh-CN"/>
        </w:rPr>
        <w:t>七</w:t>
      </w:r>
      <w:r>
        <w:rPr>
          <w:rFonts w:hint="eastAsia" w:ascii="楷体" w:hAnsi="宋体" w:eastAsia="楷体" w:cs="宋体"/>
          <w:sz w:val="32"/>
        </w:rPr>
        <w:t>）供应商要求</w:t>
      </w:r>
    </w:p>
    <w:p w14:paraId="00A47DDD">
      <w:pPr>
        <w:spacing w:line="560" w:lineRule="exact"/>
        <w:ind w:firstLine="482"/>
        <w:jc w:val="left"/>
        <w:rPr>
          <w:rFonts w:hint="eastAsia" w:ascii="仿宋" w:hAnsi="宋体" w:eastAsia="仿宋" w:cs="宋体"/>
          <w:sz w:val="24"/>
          <w:highlight w:val="none"/>
        </w:rPr>
      </w:pPr>
      <w:r>
        <w:rPr>
          <w:rFonts w:hint="eastAsia" w:ascii="仿宋" w:hAnsi="宋体" w:eastAsia="仿宋" w:cs="宋体"/>
          <w:sz w:val="24"/>
          <w:highlight w:val="none"/>
        </w:rPr>
        <w:t>1. 资质证明：具有独立承担民事责任的能力；具有良好的商业信誉和健全的财务会计制度；具有履行合同所必需的设备和专业技术能力；有依法缴纳税收和社会保障资金的良好记录；参加采购活动前三年内，在经营活动中没有重大违法记录；法律、行政法规规定的其他条件</w:t>
      </w:r>
      <w:r>
        <w:rPr>
          <w:rFonts w:hint="eastAsia" w:ascii="仿宋" w:hAnsi="宋体" w:eastAsia="仿宋" w:cs="宋体"/>
          <w:sz w:val="24"/>
          <w:highlight w:val="none"/>
          <w:lang w:eastAsia="zh-CN"/>
        </w:rPr>
        <w:t>；</w:t>
      </w:r>
      <w:r>
        <w:rPr>
          <w:rFonts w:hint="eastAsia" w:ascii="仿宋" w:hAnsi="宋体" w:eastAsia="仿宋" w:cs="宋体"/>
          <w:sz w:val="24"/>
          <w:highlight w:val="none"/>
        </w:rPr>
        <w:t>不得</w:t>
      </w:r>
      <w:r>
        <w:rPr>
          <w:rFonts w:hint="eastAsia" w:ascii="仿宋" w:hAnsi="宋体" w:eastAsia="仿宋" w:cs="宋体"/>
          <w:sz w:val="24"/>
          <w:highlight w:val="none"/>
          <w:lang w:val="en-US" w:eastAsia="zh-CN"/>
        </w:rPr>
        <w:t>是</w:t>
      </w:r>
      <w:r>
        <w:rPr>
          <w:rFonts w:hint="eastAsia" w:ascii="仿宋" w:hAnsi="宋体" w:eastAsia="仿宋" w:cs="宋体"/>
          <w:sz w:val="24"/>
          <w:highlight w:val="none"/>
        </w:rPr>
        <w:t>被列入校服供货“黑名单”的企业。</w:t>
      </w:r>
    </w:p>
    <w:p w14:paraId="42570B8A">
      <w:pPr>
        <w:spacing w:line="560" w:lineRule="exact"/>
        <w:ind w:firstLine="482"/>
        <w:jc w:val="left"/>
        <w:rPr>
          <w:rFonts w:ascii="仿宋" w:hAnsi="宋体" w:eastAsia="仿宋" w:cs="宋体"/>
          <w:sz w:val="24"/>
          <w:highlight w:val="none"/>
        </w:rPr>
      </w:pPr>
      <w:r>
        <w:rPr>
          <w:rFonts w:hint="eastAsia" w:ascii="仿宋" w:hAnsi="宋体" w:eastAsia="仿宋" w:cs="宋体"/>
          <w:sz w:val="24"/>
          <w:highlight w:val="none"/>
        </w:rPr>
        <w:t>2. 售后服务：</w:t>
      </w:r>
    </w:p>
    <w:p w14:paraId="1545E540">
      <w:pPr>
        <w:spacing w:line="420" w:lineRule="exact"/>
        <w:ind w:firstLine="420"/>
        <w:jc w:val="left"/>
        <w:rPr>
          <w:rFonts w:hint="eastAsia" w:ascii="仿宋" w:hAnsi="仿宋" w:eastAsia="仿宋" w:cs="仿宋"/>
          <w:bCs/>
          <w:sz w:val="24"/>
          <w:highlight w:val="none"/>
          <w:lang w:val="zh-CN"/>
        </w:rPr>
      </w:pPr>
      <w:r>
        <w:rPr>
          <w:rFonts w:hint="eastAsia" w:ascii="仿宋" w:hAnsi="仿宋" w:eastAsia="仿宋" w:cs="仿宋"/>
          <w:bCs/>
          <w:sz w:val="24"/>
          <w:highlight w:val="none"/>
          <w:lang w:val="zh-CN"/>
        </w:rPr>
        <w:t>（</w:t>
      </w:r>
      <w:r>
        <w:rPr>
          <w:rFonts w:hint="eastAsia" w:ascii="仿宋" w:hAnsi="仿宋" w:eastAsia="仿宋" w:cs="仿宋"/>
          <w:bCs/>
          <w:sz w:val="24"/>
          <w:highlight w:val="none"/>
          <w:lang w:val="en-US" w:eastAsia="zh-CN"/>
        </w:rPr>
        <w:t>1</w:t>
      </w:r>
      <w:r>
        <w:rPr>
          <w:rFonts w:hint="eastAsia" w:ascii="仿宋" w:hAnsi="仿宋" w:eastAsia="仿宋" w:cs="仿宋"/>
          <w:bCs/>
          <w:sz w:val="24"/>
          <w:highlight w:val="none"/>
          <w:lang w:val="zh-CN"/>
        </w:rPr>
        <w:t>）质保服务：</w:t>
      </w:r>
      <w:r>
        <w:rPr>
          <w:rFonts w:hint="eastAsia" w:ascii="仿宋" w:hAnsi="仿宋" w:eastAsia="仿宋" w:cs="仿宋"/>
          <w:bCs/>
          <w:sz w:val="24"/>
          <w:highlight w:val="none"/>
          <w:lang w:val="en-US" w:eastAsia="zh-CN"/>
        </w:rPr>
        <w:t>供应商</w:t>
      </w:r>
      <w:r>
        <w:rPr>
          <w:rFonts w:hint="eastAsia" w:ascii="仿宋" w:hAnsi="仿宋" w:eastAsia="仿宋" w:cs="仿宋"/>
          <w:bCs/>
          <w:sz w:val="24"/>
          <w:highlight w:val="none"/>
          <w:lang w:val="zh-CN"/>
        </w:rPr>
        <w:t>对所有产品提供不少于一年的免费质保。校服交付发放后，若出现尺码不合、做工瑕疵、面料破损等问题，</w:t>
      </w:r>
      <w:r>
        <w:rPr>
          <w:rFonts w:hint="eastAsia" w:ascii="仿宋" w:hAnsi="仿宋" w:eastAsia="仿宋" w:cs="仿宋"/>
          <w:bCs/>
          <w:sz w:val="24"/>
          <w:highlight w:val="none"/>
          <w:lang w:val="en-US" w:eastAsia="zh-CN"/>
        </w:rPr>
        <w:t>供应商</w:t>
      </w:r>
      <w:r>
        <w:rPr>
          <w:rFonts w:hint="eastAsia" w:ascii="仿宋" w:hAnsi="仿宋" w:eastAsia="仿宋" w:cs="仿宋"/>
          <w:bCs/>
          <w:sz w:val="24"/>
          <w:highlight w:val="none"/>
          <w:lang w:val="zh-CN"/>
        </w:rPr>
        <w:t>需在收到退换申请后 7 个工作日内完成免费退换，往返物流费用由</w:t>
      </w:r>
      <w:r>
        <w:rPr>
          <w:rFonts w:hint="eastAsia" w:ascii="仿宋" w:hAnsi="仿宋" w:eastAsia="仿宋" w:cs="仿宋"/>
          <w:bCs/>
          <w:sz w:val="24"/>
          <w:highlight w:val="none"/>
          <w:lang w:val="en-US" w:eastAsia="zh-CN"/>
        </w:rPr>
        <w:t>供应商</w:t>
      </w:r>
      <w:r>
        <w:rPr>
          <w:rFonts w:hint="eastAsia" w:ascii="仿宋" w:hAnsi="仿宋" w:eastAsia="仿宋" w:cs="仿宋"/>
          <w:bCs/>
          <w:sz w:val="24"/>
          <w:highlight w:val="none"/>
          <w:lang w:val="zh-CN"/>
        </w:rPr>
        <w:t>承担。学生穿着一年内，出现非人为因素造成的质量缺陷（如非正常开线、严重色牢度不达标褪色、面料撕裂</w:t>
      </w:r>
      <w:r>
        <w:rPr>
          <w:rFonts w:hint="eastAsia" w:ascii="仿宋" w:hAnsi="仿宋" w:eastAsia="仿宋" w:cs="仿宋"/>
          <w:bCs/>
          <w:sz w:val="24"/>
          <w:highlight w:val="none"/>
          <w:lang w:val="en-US" w:eastAsia="zh-CN"/>
        </w:rPr>
        <w:t>（拔丝）</w:t>
      </w:r>
      <w:r>
        <w:rPr>
          <w:rFonts w:hint="eastAsia" w:ascii="仿宋" w:hAnsi="仿宋" w:eastAsia="仿宋" w:cs="仿宋"/>
          <w:bCs/>
          <w:sz w:val="24"/>
          <w:highlight w:val="none"/>
          <w:lang w:val="zh-CN"/>
        </w:rPr>
        <w:t>、严重起球</w:t>
      </w:r>
      <w:r>
        <w:rPr>
          <w:rFonts w:hint="eastAsia" w:ascii="仿宋" w:hAnsi="仿宋" w:eastAsia="仿宋" w:cs="仿宋"/>
          <w:bCs/>
          <w:sz w:val="24"/>
          <w:highlight w:val="none"/>
          <w:lang w:val="zh-CN" w:eastAsia="zh-CN"/>
        </w:rPr>
        <w:t>、变形缩水</w:t>
      </w:r>
      <w:r>
        <w:rPr>
          <w:rFonts w:hint="eastAsia" w:ascii="仿宋" w:hAnsi="仿宋" w:eastAsia="仿宋" w:cs="仿宋"/>
          <w:bCs/>
          <w:sz w:val="24"/>
          <w:highlight w:val="none"/>
          <w:lang w:val="zh-CN"/>
        </w:rPr>
        <w:t>等，质量判定标准执行 GB/T31888《中小学生校服》），</w:t>
      </w:r>
      <w:r>
        <w:rPr>
          <w:rFonts w:hint="eastAsia" w:ascii="仿宋" w:hAnsi="仿宋" w:eastAsia="仿宋" w:cs="仿宋"/>
          <w:bCs/>
          <w:sz w:val="24"/>
          <w:highlight w:val="none"/>
          <w:lang w:val="en-US" w:eastAsia="zh-CN"/>
        </w:rPr>
        <w:t>供应商</w:t>
      </w:r>
      <w:r>
        <w:rPr>
          <w:rFonts w:hint="eastAsia" w:ascii="仿宋" w:hAnsi="仿宋" w:eastAsia="仿宋" w:cs="仿宋"/>
          <w:bCs/>
          <w:sz w:val="24"/>
          <w:highlight w:val="none"/>
          <w:lang w:val="zh-CN"/>
        </w:rPr>
        <w:t>须提供免费维修或更换。质保期从</w:t>
      </w:r>
      <w:r>
        <w:rPr>
          <w:rFonts w:hint="eastAsia" w:ascii="仿宋" w:hAnsi="仿宋" w:eastAsia="仿宋" w:cs="仿宋"/>
          <w:bCs/>
          <w:sz w:val="24"/>
          <w:highlight w:val="none"/>
          <w:lang w:val="zh-CN" w:eastAsia="zh-CN"/>
        </w:rPr>
        <w:t>需方</w:t>
      </w:r>
      <w:r>
        <w:rPr>
          <w:rFonts w:hint="eastAsia" w:ascii="仿宋" w:hAnsi="仿宋" w:eastAsia="仿宋" w:cs="仿宋"/>
          <w:bCs/>
          <w:sz w:val="24"/>
          <w:highlight w:val="none"/>
          <w:lang w:val="zh-CN"/>
        </w:rPr>
        <w:t>代表签字验收合格之日起执行。</w:t>
      </w:r>
    </w:p>
    <w:p w14:paraId="7BA1CF71">
      <w:pPr>
        <w:spacing w:line="420" w:lineRule="exact"/>
        <w:ind w:firstLine="420"/>
        <w:jc w:val="left"/>
        <w:rPr>
          <w:rFonts w:hint="default" w:ascii="仿宋" w:hAnsi="仿宋" w:eastAsia="仿宋" w:cs="仿宋"/>
          <w:bCs/>
          <w:sz w:val="24"/>
          <w:highlight w:val="none"/>
          <w:lang w:val="en-US" w:eastAsia="zh-CN"/>
        </w:rPr>
      </w:pPr>
      <w:r>
        <w:rPr>
          <w:rFonts w:hint="eastAsia" w:ascii="仿宋" w:hAnsi="仿宋" w:eastAsia="仿宋" w:cs="仿宋"/>
          <w:bCs/>
          <w:sz w:val="24"/>
          <w:highlight w:val="none"/>
          <w:lang w:val="zh-CN"/>
        </w:rPr>
        <w:t>（</w:t>
      </w:r>
      <w:r>
        <w:rPr>
          <w:rFonts w:hint="eastAsia" w:ascii="仿宋" w:hAnsi="仿宋" w:eastAsia="仿宋" w:cs="仿宋"/>
          <w:bCs/>
          <w:sz w:val="24"/>
          <w:highlight w:val="none"/>
          <w:lang w:val="en-US" w:eastAsia="zh-CN"/>
        </w:rPr>
        <w:t>2</w:t>
      </w:r>
      <w:r>
        <w:rPr>
          <w:rFonts w:hint="eastAsia" w:ascii="仿宋" w:hAnsi="仿宋" w:eastAsia="仿宋" w:cs="仿宋"/>
          <w:bCs/>
          <w:sz w:val="24"/>
          <w:highlight w:val="none"/>
          <w:lang w:val="zh-CN"/>
        </w:rPr>
        <w:t>）售后服务：</w:t>
      </w:r>
      <w:r>
        <w:rPr>
          <w:rFonts w:hint="eastAsia" w:ascii="仿宋" w:hAnsi="仿宋" w:eastAsia="仿宋" w:cs="仿宋"/>
          <w:bCs/>
          <w:sz w:val="24"/>
          <w:highlight w:val="none"/>
          <w:lang w:val="en-US" w:eastAsia="zh-CN"/>
        </w:rPr>
        <w:t>供应商</w:t>
      </w:r>
      <w:r>
        <w:rPr>
          <w:rFonts w:hint="eastAsia" w:ascii="仿宋" w:hAnsi="仿宋" w:eastAsia="仿宋" w:cs="仿宋"/>
          <w:bCs/>
          <w:sz w:val="24"/>
          <w:highlight w:val="none"/>
          <w:lang w:val="zh-CN"/>
        </w:rPr>
        <w:t>应建立以学校为单位的校服服务体系并提供 三 年售后服务，提供相对固定的购买渠道（如线下门店或线上小程序等），备足货源，方便学生家长调换、修补、零星购买，在收到家长售后申请后  7 个工作日内</w:t>
      </w:r>
      <w:r>
        <w:rPr>
          <w:rFonts w:hint="eastAsia" w:ascii="仿宋" w:hAnsi="仿宋" w:eastAsia="仿宋" w:cs="仿宋"/>
          <w:bCs/>
          <w:sz w:val="24"/>
          <w:highlight w:val="none"/>
          <w:lang w:val="en-US" w:eastAsia="zh-CN"/>
        </w:rPr>
        <w:t>供应商</w:t>
      </w:r>
      <w:r>
        <w:rPr>
          <w:rFonts w:hint="eastAsia" w:ascii="仿宋" w:hAnsi="仿宋" w:eastAsia="仿宋" w:cs="仿宋"/>
          <w:bCs/>
          <w:sz w:val="24"/>
          <w:highlight w:val="none"/>
          <w:lang w:val="zh-CN"/>
        </w:rPr>
        <w:t>应完成售后服务。对家长后期增补购买的校服价格不得高于中标价，包装费、快递费等由</w:t>
      </w:r>
      <w:r>
        <w:rPr>
          <w:rFonts w:hint="eastAsia" w:ascii="仿宋_GB2312" w:hAnsi="仿宋_GB2312" w:eastAsia="仿宋_GB2312" w:cs="仿宋_GB2312"/>
          <w:bCs/>
          <w:sz w:val="24"/>
          <w:highlight w:val="none"/>
          <w:lang w:val="en-US" w:eastAsia="zh-CN"/>
        </w:rPr>
        <w:t>供应商</w:t>
      </w:r>
      <w:r>
        <w:rPr>
          <w:rFonts w:hint="eastAsia" w:ascii="仿宋" w:hAnsi="仿宋" w:eastAsia="仿宋" w:cs="仿宋"/>
          <w:bCs/>
          <w:sz w:val="24"/>
          <w:highlight w:val="none"/>
          <w:lang w:val="zh-CN"/>
        </w:rPr>
        <w:t>承担。售后服务期从</w:t>
      </w:r>
      <w:r>
        <w:rPr>
          <w:rFonts w:hint="eastAsia" w:ascii="仿宋" w:hAnsi="仿宋" w:eastAsia="仿宋" w:cs="仿宋"/>
          <w:bCs/>
          <w:sz w:val="24"/>
          <w:highlight w:val="none"/>
          <w:lang w:val="zh-CN" w:eastAsia="zh-CN"/>
        </w:rPr>
        <w:t>需方</w:t>
      </w:r>
      <w:r>
        <w:rPr>
          <w:rFonts w:hint="eastAsia" w:ascii="仿宋" w:hAnsi="仿宋" w:eastAsia="仿宋" w:cs="仿宋"/>
          <w:bCs/>
          <w:sz w:val="24"/>
          <w:highlight w:val="none"/>
          <w:lang w:val="zh-CN"/>
        </w:rPr>
        <w:t>代表签字验收合格之日起执行。</w:t>
      </w:r>
      <w:r>
        <w:rPr>
          <w:rFonts w:hint="eastAsia" w:ascii="仿宋" w:hAnsi="仿宋" w:eastAsia="仿宋" w:cs="仿宋"/>
          <w:bCs/>
          <w:sz w:val="24"/>
          <w:highlight w:val="none"/>
          <w:lang w:val="en-US" w:eastAsia="zh-CN"/>
        </w:rPr>
        <w:t>2023级</w:t>
      </w:r>
      <w:r>
        <w:rPr>
          <w:rFonts w:hint="eastAsia" w:ascii="仿宋" w:hAnsi="仿宋" w:eastAsia="仿宋" w:cs="仿宋"/>
          <w:bCs/>
          <w:sz w:val="24"/>
          <w:highlight w:val="none"/>
          <w:lang w:val="zh-CN"/>
        </w:rPr>
        <w:t>学生校服的</w:t>
      </w:r>
      <w:r>
        <w:rPr>
          <w:rFonts w:hint="eastAsia" w:ascii="仿宋" w:hAnsi="仿宋" w:eastAsia="仿宋" w:cs="仿宋"/>
          <w:bCs/>
          <w:sz w:val="24"/>
          <w:highlight w:val="none"/>
          <w:lang w:val="en-US" w:eastAsia="zh-CN"/>
        </w:rPr>
        <w:t>维修</w:t>
      </w:r>
      <w:r>
        <w:rPr>
          <w:rFonts w:hint="eastAsia" w:ascii="仿宋" w:hAnsi="仿宋" w:eastAsia="仿宋" w:cs="仿宋"/>
          <w:bCs/>
          <w:sz w:val="24"/>
          <w:highlight w:val="none"/>
          <w:lang w:val="zh-CN"/>
        </w:rPr>
        <w:t>、</w:t>
      </w:r>
      <w:r>
        <w:rPr>
          <w:rFonts w:hint="eastAsia" w:ascii="仿宋" w:hAnsi="仿宋" w:eastAsia="仿宋" w:cs="仿宋"/>
          <w:bCs/>
          <w:sz w:val="24"/>
          <w:highlight w:val="none"/>
          <w:lang w:val="en-US" w:eastAsia="zh-CN"/>
        </w:rPr>
        <w:t>调换</w:t>
      </w:r>
      <w:r>
        <w:rPr>
          <w:rFonts w:hint="eastAsia" w:ascii="仿宋" w:hAnsi="仿宋" w:eastAsia="仿宋" w:cs="仿宋"/>
          <w:bCs/>
          <w:sz w:val="24"/>
          <w:highlight w:val="none"/>
          <w:lang w:val="zh-CN"/>
        </w:rPr>
        <w:t>，以及</w:t>
      </w:r>
      <w:r>
        <w:rPr>
          <w:rFonts w:hint="eastAsia" w:ascii="仿宋" w:hAnsi="仿宋" w:eastAsia="仿宋" w:cs="仿宋"/>
          <w:bCs/>
          <w:sz w:val="24"/>
          <w:highlight w:val="none"/>
          <w:lang w:val="en-US" w:eastAsia="zh-CN"/>
        </w:rPr>
        <w:t>零星补购</w:t>
      </w:r>
      <w:r>
        <w:rPr>
          <w:rFonts w:hint="eastAsia" w:ascii="仿宋" w:hAnsi="仿宋" w:eastAsia="仿宋" w:cs="仿宋"/>
          <w:bCs/>
          <w:sz w:val="24"/>
          <w:highlight w:val="none"/>
          <w:lang w:val="zh-CN"/>
        </w:rPr>
        <w:t>由本次</w:t>
      </w:r>
      <w:r>
        <w:rPr>
          <w:rFonts w:hint="eastAsia" w:ascii="仿宋" w:hAnsi="仿宋" w:eastAsia="仿宋" w:cs="仿宋"/>
          <w:bCs/>
          <w:sz w:val="24"/>
          <w:highlight w:val="none"/>
          <w:lang w:val="en-US" w:eastAsia="zh-CN"/>
        </w:rPr>
        <w:t xml:space="preserve">中标供应商提供。 </w:t>
      </w:r>
      <w:bookmarkStart w:id="0" w:name="_GoBack"/>
      <w:bookmarkEnd w:id="0"/>
    </w:p>
    <w:p w14:paraId="72055C78">
      <w:pPr>
        <w:spacing w:line="420" w:lineRule="exact"/>
        <w:ind w:firstLine="420"/>
        <w:jc w:val="left"/>
        <w:rPr>
          <w:rFonts w:hint="default"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（3）备货要求：中标供应商须备多于合同总数 10 % 以上的货物以供封存备查、学生调换（尺码不匹配）、质保、后期增补订等用途，其余量身定制类数量应保证调换到位。在完成发放后，除封存备查的校服外，多余的备货由供应商带回厂家仓库。</w:t>
      </w:r>
    </w:p>
    <w:p w14:paraId="51C861C4">
      <w:pPr>
        <w:spacing w:before="200" w:after="100"/>
        <w:jc w:val="left"/>
        <w:outlineLvl w:val="0"/>
        <w:rPr>
          <w:rFonts w:hint="eastAsia" w:ascii="黑体" w:hAnsi="宋体" w:eastAsia="黑体" w:cs="宋体"/>
          <w:sz w:val="32"/>
        </w:rPr>
      </w:pPr>
      <w:r>
        <w:rPr>
          <w:rFonts w:hint="eastAsia" w:ascii="黑体" w:hAnsi="宋体" w:eastAsia="黑体" w:cs="宋体"/>
          <w:sz w:val="32"/>
          <w:lang w:val="en-US" w:eastAsia="zh-CN"/>
        </w:rPr>
        <w:t>六</w:t>
      </w:r>
      <w:r>
        <w:rPr>
          <w:rFonts w:hint="eastAsia" w:ascii="黑体" w:hAnsi="宋体" w:eastAsia="黑体" w:cs="宋体"/>
          <w:sz w:val="32"/>
        </w:rPr>
        <w:t>、采购工作流程与时间安排</w:t>
      </w:r>
    </w:p>
    <w:p w14:paraId="00D5AC1D">
      <w:pPr>
        <w:spacing w:before="200" w:after="100"/>
        <w:jc w:val="left"/>
        <w:outlineLvl w:val="1"/>
        <w:rPr>
          <w:rFonts w:ascii="楷体" w:eastAsia="楷体" w:hAnsiTheme="minorEastAsia" w:cstheme="minorEastAsia"/>
          <w:sz w:val="32"/>
          <w:highlight w:val="none"/>
        </w:rPr>
      </w:pPr>
      <w:r>
        <w:rPr>
          <w:rFonts w:hint="eastAsia" w:ascii="楷体" w:eastAsia="楷体" w:hAnsiTheme="minorEastAsia" w:cstheme="minorEastAsia"/>
          <w:sz w:val="32"/>
          <w:highlight w:val="none"/>
        </w:rPr>
        <w:t>（一）流程步骤</w:t>
      </w:r>
    </w:p>
    <w:p w14:paraId="51295867">
      <w:pPr>
        <w:spacing w:line="560" w:lineRule="exact"/>
        <w:ind w:firstLine="482"/>
        <w:jc w:val="left"/>
        <w:rPr>
          <w:rFonts w:hint="eastAsia" w:ascii="仿宋" w:eastAsia="仿宋" w:hAnsiTheme="minorEastAsia" w:cstheme="minorEastAsia"/>
          <w:sz w:val="24"/>
          <w:highlight w:val="none"/>
        </w:rPr>
      </w:pPr>
      <w:r>
        <w:rPr>
          <w:rFonts w:hint="eastAsia" w:ascii="仿宋" w:eastAsia="仿宋" w:hAnsiTheme="minorEastAsia" w:cstheme="minorEastAsia"/>
          <w:sz w:val="24"/>
          <w:highlight w:val="none"/>
        </w:rPr>
        <w:t xml:space="preserve">1. 确定招标代理机构：通过中介超市完成招标代理机构的筛选与确定，委托其负责本次校服采购的招标相关工作。 </w:t>
      </w:r>
    </w:p>
    <w:p w14:paraId="580BE26A">
      <w:pPr>
        <w:spacing w:line="560" w:lineRule="exact"/>
        <w:ind w:firstLine="482"/>
        <w:jc w:val="left"/>
        <w:rPr>
          <w:rFonts w:hint="eastAsia" w:ascii="仿宋" w:eastAsia="仿宋" w:hAnsiTheme="minorEastAsia" w:cstheme="minorEastAsia"/>
          <w:sz w:val="24"/>
          <w:highlight w:val="none"/>
        </w:rPr>
      </w:pPr>
      <w:r>
        <w:rPr>
          <w:rFonts w:hint="eastAsia" w:ascii="仿宋" w:eastAsia="仿宋" w:hAnsiTheme="minorEastAsia" w:cstheme="minorEastAsia"/>
          <w:sz w:val="24"/>
          <w:highlight w:val="none"/>
          <w:lang w:val="en-US" w:eastAsia="zh-CN"/>
        </w:rPr>
        <w:t>2.</w:t>
      </w:r>
      <w:r>
        <w:rPr>
          <w:rFonts w:hint="eastAsia" w:ascii="仿宋" w:eastAsia="仿宋" w:hAnsiTheme="minorEastAsia" w:cstheme="minorEastAsia"/>
          <w:sz w:val="24"/>
          <w:highlight w:val="none"/>
        </w:rPr>
        <w:t xml:space="preserve">招标：由代理机构编制招标文件，发布招标公告，公告期限5个工作日。评分办法采用综合评分法：校服的价格分为30分（价格分采用低价优先法计算，即满足招标文件要求且投标价格最低的投标报价为评标基准价，其价格分为满分）；其它评审因素与投标人所提供校服的质量和服务相关，包括但不限于技术水平、履约能力、售后服务方案等。 </w:t>
      </w:r>
    </w:p>
    <w:p w14:paraId="25016E33">
      <w:pPr>
        <w:spacing w:line="560" w:lineRule="exact"/>
        <w:ind w:firstLine="482"/>
        <w:jc w:val="left"/>
        <w:rPr>
          <w:rFonts w:hint="eastAsia" w:ascii="仿宋" w:eastAsia="仿宋" w:hAnsiTheme="minorEastAsia" w:cstheme="minorEastAsia"/>
          <w:sz w:val="24"/>
          <w:highlight w:val="none"/>
        </w:rPr>
      </w:pPr>
      <w:r>
        <w:rPr>
          <w:rFonts w:hint="eastAsia" w:ascii="仿宋" w:eastAsia="仿宋" w:hAnsiTheme="minorEastAsia" w:cstheme="minorEastAsia"/>
          <w:sz w:val="24"/>
          <w:highlight w:val="none"/>
          <w:lang w:val="en-US" w:eastAsia="zh-CN"/>
        </w:rPr>
        <w:t>3.</w:t>
      </w:r>
      <w:r>
        <w:rPr>
          <w:rFonts w:hint="eastAsia" w:ascii="仿宋" w:eastAsia="仿宋" w:hAnsiTheme="minorEastAsia" w:cstheme="minorEastAsia"/>
          <w:sz w:val="24"/>
          <w:highlight w:val="none"/>
        </w:rPr>
        <w:t xml:space="preserve">开标与评审：代理机构接收供应商投标文件、样品，组织开标、评标。评标委员会组成：人数为7人，其中学校代表1名，家长代表1人，技术、经济专家（本地区专家库或省级采购评标专家库中随机抽取）5人。 </w:t>
      </w:r>
    </w:p>
    <w:p w14:paraId="30CF3E79">
      <w:pPr>
        <w:spacing w:line="560" w:lineRule="exact"/>
        <w:ind w:firstLine="482"/>
        <w:jc w:val="left"/>
        <w:rPr>
          <w:rFonts w:hint="eastAsia" w:ascii="仿宋" w:eastAsia="仿宋" w:hAnsiTheme="minorEastAsia" w:cstheme="minorEastAsia"/>
          <w:sz w:val="24"/>
          <w:highlight w:val="none"/>
        </w:rPr>
      </w:pPr>
      <w:r>
        <w:rPr>
          <w:rFonts w:hint="eastAsia" w:ascii="仿宋" w:eastAsia="仿宋" w:hAnsiTheme="minorEastAsia" w:cstheme="minorEastAsia"/>
          <w:sz w:val="24"/>
          <w:highlight w:val="none"/>
          <w:lang w:val="en-US" w:eastAsia="zh-CN"/>
        </w:rPr>
        <w:t>4.</w:t>
      </w:r>
      <w:r>
        <w:rPr>
          <w:rFonts w:hint="eastAsia" w:ascii="仿宋" w:eastAsia="仿宋" w:hAnsiTheme="minorEastAsia" w:cstheme="minorEastAsia"/>
          <w:sz w:val="24"/>
          <w:highlight w:val="none"/>
        </w:rPr>
        <w:t xml:space="preserve">中标公示：学校对中标企业名称、校服款式及质量标准、中标价格、服务年限、售后服务等信息进行公示，公告期限5个工作日。 </w:t>
      </w:r>
    </w:p>
    <w:p w14:paraId="6D8BA253">
      <w:pPr>
        <w:spacing w:line="560" w:lineRule="exact"/>
        <w:ind w:firstLine="482"/>
        <w:jc w:val="left"/>
        <w:rPr>
          <w:rFonts w:hint="eastAsia" w:ascii="仿宋" w:eastAsia="仿宋" w:hAnsiTheme="minorEastAsia" w:cstheme="minorEastAsia"/>
          <w:sz w:val="24"/>
          <w:highlight w:val="none"/>
        </w:rPr>
      </w:pPr>
      <w:r>
        <w:rPr>
          <w:rFonts w:hint="eastAsia" w:ascii="仿宋" w:eastAsia="仿宋" w:hAnsiTheme="minorEastAsia" w:cstheme="minorEastAsia"/>
          <w:sz w:val="24"/>
          <w:highlight w:val="none"/>
          <w:lang w:val="en-US" w:eastAsia="zh-CN"/>
        </w:rPr>
        <w:t>5.</w:t>
      </w:r>
      <w:r>
        <w:rPr>
          <w:rFonts w:hint="eastAsia" w:ascii="仿宋" w:eastAsia="仿宋" w:hAnsiTheme="minorEastAsia" w:cstheme="minorEastAsia"/>
          <w:sz w:val="24"/>
          <w:highlight w:val="none"/>
        </w:rPr>
        <w:t xml:space="preserve">样衣送检、合同签订：在校服选用组织的监督下，拟中标供应商将投标校服样衣（一套封存送检、一套封存留样）送有资质的检测机构进行送检。取得合格报告且公示无异议后方可签订合同。该检测费用由中标供应商支付。合同应明确校服价格、质量标准、交货时间、售后服务条款及违约责任。 </w:t>
      </w:r>
    </w:p>
    <w:p w14:paraId="104B76A0">
      <w:pPr>
        <w:spacing w:line="560" w:lineRule="exact"/>
        <w:ind w:firstLine="482"/>
        <w:jc w:val="left"/>
        <w:rPr>
          <w:rFonts w:hint="eastAsia" w:ascii="仿宋" w:eastAsia="仿宋" w:hAnsiTheme="minorEastAsia" w:cstheme="minorEastAsia"/>
          <w:sz w:val="24"/>
          <w:highlight w:val="none"/>
        </w:rPr>
      </w:pPr>
      <w:r>
        <w:rPr>
          <w:rFonts w:hint="eastAsia" w:ascii="仿宋" w:eastAsia="仿宋" w:hAnsiTheme="minorEastAsia" w:cstheme="minorEastAsia"/>
          <w:sz w:val="24"/>
          <w:highlight w:val="none"/>
          <w:lang w:val="en-US" w:eastAsia="zh-CN"/>
        </w:rPr>
        <w:t>6.</w:t>
      </w:r>
      <w:r>
        <w:rPr>
          <w:rFonts w:hint="eastAsia" w:ascii="仿宋" w:eastAsia="仿宋" w:hAnsiTheme="minorEastAsia" w:cstheme="minorEastAsia"/>
          <w:sz w:val="24"/>
          <w:highlight w:val="none"/>
        </w:rPr>
        <w:t xml:space="preserve">一次送检：中标人在生产前，除提供面料供应商出具的“第三方检验报告”及“相关采购凭证”以外，还应将本批次生产校服的面、辅料样品交由省、直辖市及以上“由技术监督部门依法授权的服装质检部门”进行检验（当面料批次及成份发生变化时也需进行检测），必须符合招标文件及国家相关标准后方可批量生产，该料样及《检测报告》原件由招标采购方存档。该检测费用由中标供应商支付。 </w:t>
      </w:r>
    </w:p>
    <w:p w14:paraId="0291CEF2">
      <w:pPr>
        <w:spacing w:line="560" w:lineRule="exact"/>
        <w:ind w:firstLine="482"/>
        <w:jc w:val="left"/>
        <w:rPr>
          <w:rFonts w:hint="eastAsia" w:ascii="仿宋" w:eastAsia="仿宋" w:hAnsiTheme="minorEastAsia" w:cstheme="minorEastAsia"/>
          <w:sz w:val="24"/>
          <w:highlight w:val="none"/>
        </w:rPr>
      </w:pPr>
      <w:r>
        <w:rPr>
          <w:rFonts w:hint="eastAsia" w:ascii="仿宋" w:eastAsia="仿宋" w:hAnsiTheme="minorEastAsia" w:cstheme="minorEastAsia"/>
          <w:sz w:val="24"/>
          <w:highlight w:val="none"/>
          <w:lang w:val="en-US" w:eastAsia="zh-CN"/>
        </w:rPr>
        <w:t>7.</w:t>
      </w:r>
      <w:r>
        <w:rPr>
          <w:rFonts w:hint="eastAsia" w:ascii="仿宋" w:eastAsia="仿宋" w:hAnsiTheme="minorEastAsia" w:cstheme="minorEastAsia"/>
          <w:sz w:val="24"/>
          <w:highlight w:val="none"/>
        </w:rPr>
        <w:t xml:space="preserve">二次送检：学校从供应商交付的校服大货中每款校服随机挑选一件按规范质量要求二次送检、两件留样（其中一件备查），抽样过程须有校服选用组织参与且家长代表不得少于三人，并及时向学生（家长）公示检测结果。该检测费用由学校承担。 </w:t>
      </w:r>
    </w:p>
    <w:p w14:paraId="08372091">
      <w:pPr>
        <w:spacing w:line="560" w:lineRule="exact"/>
        <w:ind w:firstLine="482"/>
        <w:jc w:val="left"/>
        <w:rPr>
          <w:rFonts w:hint="eastAsia" w:ascii="仿宋" w:eastAsia="仿宋" w:hAnsiTheme="minorEastAsia" w:cstheme="minorEastAsia"/>
          <w:sz w:val="24"/>
          <w:highlight w:val="none"/>
        </w:rPr>
      </w:pPr>
      <w:r>
        <w:rPr>
          <w:rFonts w:hint="eastAsia" w:ascii="仿宋" w:eastAsia="仿宋" w:hAnsiTheme="minorEastAsia" w:cstheme="minorEastAsia"/>
          <w:sz w:val="24"/>
          <w:highlight w:val="none"/>
          <w:lang w:val="en-US" w:eastAsia="zh-CN"/>
        </w:rPr>
        <w:t>8.</w:t>
      </w:r>
      <w:r>
        <w:rPr>
          <w:rFonts w:hint="eastAsia" w:ascii="仿宋" w:eastAsia="仿宋" w:hAnsiTheme="minorEastAsia" w:cstheme="minorEastAsia"/>
          <w:sz w:val="24"/>
          <w:highlight w:val="none"/>
        </w:rPr>
        <w:t>生产交付：供应商按照合同约定组织生产，在2026年10月1</w:t>
      </w:r>
      <w:r>
        <w:rPr>
          <w:rFonts w:hint="eastAsia" w:ascii="仿宋" w:eastAsia="仿宋" w:hAnsiTheme="minorEastAsia" w:cstheme="minorEastAsia"/>
          <w:sz w:val="24"/>
          <w:highlight w:val="none"/>
          <w:lang w:val="en-US" w:eastAsia="zh-CN"/>
        </w:rPr>
        <w:t>3</w:t>
      </w:r>
      <w:r>
        <w:rPr>
          <w:rFonts w:hint="eastAsia" w:ascii="仿宋" w:eastAsia="仿宋" w:hAnsiTheme="minorEastAsia" w:cstheme="minorEastAsia"/>
          <w:sz w:val="24"/>
          <w:highlight w:val="none"/>
        </w:rPr>
        <w:t xml:space="preserve">日前完成全部校服的生产与交付工作。 </w:t>
      </w:r>
    </w:p>
    <w:p w14:paraId="6E4DE2AA">
      <w:pPr>
        <w:spacing w:line="560" w:lineRule="exact"/>
        <w:ind w:firstLine="482"/>
        <w:jc w:val="left"/>
        <w:rPr>
          <w:rFonts w:hint="eastAsia" w:ascii="仿宋" w:eastAsia="仿宋" w:hAnsiTheme="minorEastAsia" w:cstheme="minorEastAsia"/>
          <w:sz w:val="24"/>
          <w:highlight w:val="none"/>
        </w:rPr>
      </w:pPr>
      <w:r>
        <w:rPr>
          <w:rFonts w:hint="eastAsia" w:ascii="仿宋" w:eastAsia="仿宋" w:hAnsiTheme="minorEastAsia" w:cstheme="minorEastAsia"/>
          <w:sz w:val="24"/>
          <w:highlight w:val="none"/>
          <w:lang w:val="en-US" w:eastAsia="zh-CN"/>
        </w:rPr>
        <w:t>9.</w:t>
      </w:r>
      <w:r>
        <w:rPr>
          <w:rFonts w:hint="eastAsia" w:ascii="仿宋" w:eastAsia="仿宋" w:hAnsiTheme="minorEastAsia" w:cstheme="minorEastAsia"/>
          <w:sz w:val="24"/>
          <w:highlight w:val="none"/>
        </w:rPr>
        <w:t>验收发放：学校验收工作组（学校代表2人，家长代表3人）完成校服验收，验收合格后，按班级发放给学生。</w:t>
      </w:r>
    </w:p>
    <w:p w14:paraId="00E5E9BE">
      <w:pPr>
        <w:spacing w:before="200" w:after="100"/>
        <w:jc w:val="left"/>
        <w:outlineLvl w:val="1"/>
        <w:rPr>
          <w:rFonts w:ascii="楷体" w:eastAsia="楷体" w:hAnsiTheme="minorEastAsia" w:cstheme="minorEastAsia"/>
          <w:sz w:val="32"/>
          <w:highlight w:val="none"/>
        </w:rPr>
      </w:pPr>
      <w:r>
        <w:rPr>
          <w:rFonts w:hint="eastAsia" w:ascii="楷体" w:eastAsia="楷体" w:hAnsiTheme="minorEastAsia" w:cstheme="minorEastAsia"/>
          <w:sz w:val="32"/>
          <w:highlight w:val="none"/>
        </w:rPr>
        <w:t>（二）关键时间节点</w:t>
      </w:r>
    </w:p>
    <w:p w14:paraId="7AB5676F">
      <w:pPr>
        <w:spacing w:line="560" w:lineRule="exact"/>
        <w:ind w:firstLine="482"/>
        <w:jc w:val="left"/>
        <w:rPr>
          <w:rFonts w:ascii="仿宋" w:eastAsia="仿宋" w:hAnsiTheme="minorEastAsia" w:cstheme="minorEastAsia"/>
          <w:sz w:val="24"/>
          <w:highlight w:val="none"/>
        </w:rPr>
      </w:pPr>
      <w:r>
        <w:rPr>
          <w:rFonts w:hint="eastAsia" w:ascii="仿宋" w:eastAsia="仿宋" w:hAnsiTheme="minorEastAsia" w:cstheme="minorEastAsia"/>
          <w:sz w:val="24"/>
          <w:highlight w:val="none"/>
        </w:rPr>
        <w:t>1. 前期准备：202</w:t>
      </w:r>
      <w:r>
        <w:rPr>
          <w:rFonts w:ascii="仿宋" w:eastAsia="仿宋" w:hAnsiTheme="minorEastAsia" w:cstheme="minorEastAsia"/>
          <w:sz w:val="24"/>
          <w:highlight w:val="none"/>
        </w:rPr>
        <w:t>6</w:t>
      </w:r>
      <w:r>
        <w:rPr>
          <w:rFonts w:hint="eastAsia" w:ascii="仿宋" w:eastAsia="仿宋" w:hAnsiTheme="minorEastAsia" w:cstheme="minorEastAsia"/>
          <w:sz w:val="24"/>
          <w:highlight w:val="none"/>
        </w:rPr>
        <w:t>年</w:t>
      </w:r>
      <w:r>
        <w:rPr>
          <w:rFonts w:ascii="仿宋" w:eastAsia="仿宋" w:hAnsiTheme="minorEastAsia" w:cstheme="minorEastAsia"/>
          <w:sz w:val="24"/>
          <w:highlight w:val="none"/>
        </w:rPr>
        <w:t>07</w:t>
      </w:r>
      <w:r>
        <w:rPr>
          <w:rFonts w:hint="eastAsia" w:ascii="仿宋" w:eastAsia="仿宋" w:hAnsiTheme="minorEastAsia" w:cstheme="minorEastAsia"/>
          <w:sz w:val="24"/>
          <w:highlight w:val="none"/>
        </w:rPr>
        <w:t>月</w:t>
      </w:r>
      <w:r>
        <w:rPr>
          <w:rFonts w:ascii="仿宋" w:eastAsia="仿宋" w:hAnsiTheme="minorEastAsia" w:cstheme="minorEastAsia"/>
          <w:sz w:val="24"/>
          <w:highlight w:val="none"/>
        </w:rPr>
        <w:t>30</w:t>
      </w:r>
      <w:r>
        <w:rPr>
          <w:rFonts w:hint="eastAsia" w:ascii="仿宋" w:eastAsia="仿宋" w:hAnsiTheme="minorEastAsia" w:cstheme="minorEastAsia"/>
          <w:sz w:val="24"/>
          <w:highlight w:val="none"/>
        </w:rPr>
        <w:t>日前完成前期准备工作，包括“三重一大”决议、家委会决议、家委会委托、校服款式与定价等。</w:t>
      </w:r>
    </w:p>
    <w:p w14:paraId="5A102A8E">
      <w:pPr>
        <w:spacing w:line="560" w:lineRule="exact"/>
        <w:ind w:firstLine="482"/>
        <w:jc w:val="left"/>
        <w:rPr>
          <w:rFonts w:ascii="仿宋" w:eastAsia="仿宋" w:hAnsiTheme="minorEastAsia" w:cstheme="minorEastAsia"/>
          <w:sz w:val="24"/>
          <w:highlight w:val="none"/>
        </w:rPr>
      </w:pPr>
      <w:r>
        <w:rPr>
          <w:rFonts w:hint="eastAsia" w:ascii="仿宋" w:eastAsia="仿宋" w:hAnsiTheme="minorEastAsia" w:cstheme="minorEastAsia"/>
          <w:sz w:val="24"/>
          <w:highlight w:val="none"/>
          <w:lang w:val="en-US" w:eastAsia="zh-CN"/>
        </w:rPr>
        <w:t>2</w:t>
      </w:r>
      <w:r>
        <w:rPr>
          <w:rFonts w:hint="eastAsia" w:ascii="仿宋" w:eastAsia="仿宋" w:hAnsiTheme="minorEastAsia" w:cstheme="minorEastAsia"/>
          <w:sz w:val="24"/>
          <w:highlight w:val="none"/>
        </w:rPr>
        <w:t>. 招标代理确定：202</w:t>
      </w:r>
      <w:r>
        <w:rPr>
          <w:rFonts w:ascii="仿宋" w:eastAsia="仿宋" w:hAnsiTheme="minorEastAsia" w:cstheme="minorEastAsia"/>
          <w:sz w:val="24"/>
          <w:highlight w:val="none"/>
        </w:rPr>
        <w:t>6</w:t>
      </w:r>
      <w:r>
        <w:rPr>
          <w:rFonts w:hint="eastAsia" w:ascii="仿宋" w:eastAsia="仿宋" w:hAnsiTheme="minorEastAsia" w:cstheme="minorEastAsia"/>
          <w:sz w:val="24"/>
          <w:highlight w:val="none"/>
        </w:rPr>
        <w:t>年0</w:t>
      </w:r>
      <w:r>
        <w:rPr>
          <w:rFonts w:ascii="仿宋" w:eastAsia="仿宋" w:hAnsiTheme="minorEastAsia" w:cstheme="minorEastAsia"/>
          <w:sz w:val="24"/>
          <w:highlight w:val="none"/>
        </w:rPr>
        <w:t>7</w:t>
      </w:r>
      <w:r>
        <w:rPr>
          <w:rFonts w:hint="eastAsia" w:ascii="仿宋" w:eastAsia="仿宋" w:hAnsiTheme="minorEastAsia" w:cstheme="minorEastAsia"/>
          <w:sz w:val="24"/>
          <w:highlight w:val="none"/>
        </w:rPr>
        <w:t>月</w:t>
      </w:r>
      <w:r>
        <w:rPr>
          <w:rFonts w:ascii="仿宋" w:eastAsia="仿宋" w:hAnsiTheme="minorEastAsia" w:cstheme="minorEastAsia"/>
          <w:sz w:val="24"/>
          <w:highlight w:val="none"/>
        </w:rPr>
        <w:t>31</w:t>
      </w:r>
      <w:r>
        <w:rPr>
          <w:rFonts w:hint="eastAsia" w:ascii="仿宋" w:eastAsia="仿宋" w:hAnsiTheme="minorEastAsia" w:cstheme="minorEastAsia"/>
          <w:sz w:val="24"/>
          <w:highlight w:val="none"/>
        </w:rPr>
        <w:t>日前</w:t>
      </w:r>
    </w:p>
    <w:p w14:paraId="5932BAAB">
      <w:pPr>
        <w:spacing w:line="560" w:lineRule="exact"/>
        <w:ind w:firstLine="482"/>
        <w:jc w:val="left"/>
        <w:rPr>
          <w:rFonts w:ascii="仿宋" w:eastAsia="仿宋" w:hAnsiTheme="minorEastAsia" w:cstheme="minorEastAsia"/>
          <w:sz w:val="24"/>
          <w:highlight w:val="none"/>
        </w:rPr>
      </w:pPr>
      <w:r>
        <w:rPr>
          <w:rFonts w:hint="eastAsia" w:ascii="仿宋" w:eastAsia="仿宋" w:hAnsiTheme="minorEastAsia" w:cstheme="minorEastAsia"/>
          <w:sz w:val="24"/>
          <w:highlight w:val="none"/>
          <w:lang w:val="en-US" w:eastAsia="zh-CN"/>
        </w:rPr>
        <w:t>3</w:t>
      </w:r>
      <w:r>
        <w:rPr>
          <w:rFonts w:hint="eastAsia" w:ascii="仿宋" w:eastAsia="仿宋" w:hAnsiTheme="minorEastAsia" w:cstheme="minorEastAsia"/>
          <w:sz w:val="24"/>
          <w:highlight w:val="none"/>
        </w:rPr>
        <w:t>. 采购方案审核：</w:t>
      </w:r>
      <w:r>
        <w:rPr>
          <w:rFonts w:hint="eastAsia" w:ascii="仿宋" w:eastAsia="仿宋" w:hAnsiTheme="minorEastAsia" w:cstheme="minorEastAsia"/>
          <w:sz w:val="24"/>
          <w:highlight w:val="none"/>
          <w:lang w:val="en-US" w:eastAsia="zh-CN"/>
        </w:rPr>
        <w:t>08</w:t>
      </w:r>
      <w:r>
        <w:rPr>
          <w:rFonts w:hint="eastAsia" w:ascii="仿宋" w:eastAsia="仿宋" w:hAnsiTheme="minorEastAsia" w:cstheme="minorEastAsia"/>
          <w:sz w:val="24"/>
          <w:highlight w:val="none"/>
        </w:rPr>
        <w:t>月</w:t>
      </w:r>
      <w:r>
        <w:rPr>
          <w:rFonts w:hint="eastAsia" w:ascii="仿宋" w:eastAsia="仿宋" w:hAnsiTheme="minorEastAsia" w:cstheme="minorEastAsia"/>
          <w:sz w:val="24"/>
          <w:highlight w:val="none"/>
          <w:lang w:val="en-US" w:eastAsia="zh-CN"/>
        </w:rPr>
        <w:t>10</w:t>
      </w:r>
      <w:r>
        <w:rPr>
          <w:rFonts w:hint="eastAsia" w:ascii="仿宋" w:eastAsia="仿宋" w:hAnsiTheme="minorEastAsia" w:cstheme="minorEastAsia"/>
          <w:sz w:val="24"/>
          <w:highlight w:val="none"/>
        </w:rPr>
        <w:t>日前将方案交给主管部门审核，并挂网公示。</w:t>
      </w:r>
    </w:p>
    <w:p w14:paraId="0E5074C2">
      <w:pPr>
        <w:spacing w:line="560" w:lineRule="exact"/>
        <w:ind w:firstLine="482"/>
        <w:jc w:val="left"/>
        <w:rPr>
          <w:rFonts w:ascii="仿宋" w:eastAsia="仿宋" w:hAnsiTheme="minorEastAsia" w:cstheme="minorEastAsia"/>
          <w:sz w:val="24"/>
          <w:highlight w:val="none"/>
        </w:rPr>
      </w:pPr>
      <w:r>
        <w:rPr>
          <w:rFonts w:hint="eastAsia" w:ascii="仿宋" w:eastAsia="仿宋" w:hAnsiTheme="minorEastAsia" w:cstheme="minorEastAsia"/>
          <w:sz w:val="24"/>
          <w:highlight w:val="none"/>
        </w:rPr>
        <w:t>4. 招标公告发布：202</w:t>
      </w:r>
      <w:r>
        <w:rPr>
          <w:rFonts w:ascii="仿宋" w:eastAsia="仿宋" w:hAnsiTheme="minorEastAsia" w:cstheme="minorEastAsia"/>
          <w:sz w:val="24"/>
          <w:highlight w:val="none"/>
        </w:rPr>
        <w:t>6</w:t>
      </w:r>
      <w:r>
        <w:rPr>
          <w:rFonts w:hint="eastAsia" w:ascii="仿宋" w:eastAsia="仿宋" w:hAnsiTheme="minorEastAsia" w:cstheme="minorEastAsia"/>
          <w:sz w:val="24"/>
          <w:highlight w:val="none"/>
        </w:rPr>
        <w:t>年</w:t>
      </w:r>
      <w:r>
        <w:rPr>
          <w:rFonts w:hint="eastAsia" w:ascii="仿宋" w:eastAsia="仿宋" w:hAnsiTheme="minorEastAsia" w:cstheme="minorEastAsia"/>
          <w:sz w:val="24"/>
          <w:highlight w:val="none"/>
          <w:lang w:val="en-US" w:eastAsia="zh-CN"/>
        </w:rPr>
        <w:t>08</w:t>
      </w:r>
      <w:r>
        <w:rPr>
          <w:rFonts w:hint="eastAsia" w:ascii="仿宋" w:eastAsia="仿宋" w:hAnsiTheme="minorEastAsia" w:cstheme="minorEastAsia"/>
          <w:sz w:val="24"/>
          <w:highlight w:val="none"/>
        </w:rPr>
        <w:t>月</w:t>
      </w:r>
      <w:r>
        <w:rPr>
          <w:rFonts w:hint="eastAsia" w:ascii="仿宋" w:eastAsia="仿宋" w:hAnsiTheme="minorEastAsia" w:cstheme="minorEastAsia"/>
          <w:sz w:val="24"/>
          <w:highlight w:val="none"/>
          <w:lang w:val="en-US" w:eastAsia="zh-CN"/>
        </w:rPr>
        <w:t>11</w:t>
      </w:r>
      <w:r>
        <w:rPr>
          <w:rFonts w:hint="eastAsia" w:ascii="仿宋" w:eastAsia="仿宋" w:hAnsiTheme="minorEastAsia" w:cstheme="minorEastAsia"/>
          <w:sz w:val="24"/>
          <w:highlight w:val="none"/>
        </w:rPr>
        <w:t>日前</w:t>
      </w:r>
    </w:p>
    <w:p w14:paraId="48D10311">
      <w:pPr>
        <w:spacing w:line="560" w:lineRule="exact"/>
        <w:ind w:firstLine="482"/>
        <w:jc w:val="left"/>
        <w:rPr>
          <w:rFonts w:ascii="仿宋" w:eastAsia="仿宋" w:hAnsiTheme="minorEastAsia" w:cstheme="minorEastAsia"/>
          <w:sz w:val="24"/>
          <w:highlight w:val="none"/>
        </w:rPr>
      </w:pPr>
      <w:r>
        <w:rPr>
          <w:rFonts w:hint="eastAsia" w:ascii="仿宋" w:eastAsia="仿宋" w:hAnsiTheme="minorEastAsia" w:cstheme="minorEastAsia"/>
          <w:sz w:val="24"/>
          <w:highlight w:val="none"/>
        </w:rPr>
        <w:t>5. 供应商投标截止日：2026年</w:t>
      </w:r>
      <w:r>
        <w:rPr>
          <w:rFonts w:hint="eastAsia" w:ascii="仿宋" w:eastAsia="仿宋" w:hAnsiTheme="minorEastAsia" w:cstheme="minorEastAsia"/>
          <w:sz w:val="24"/>
          <w:highlight w:val="none"/>
          <w:lang w:val="en-US" w:eastAsia="zh-CN"/>
        </w:rPr>
        <w:t>09</w:t>
      </w:r>
      <w:r>
        <w:rPr>
          <w:rFonts w:hint="eastAsia" w:ascii="仿宋" w:eastAsia="仿宋" w:hAnsiTheme="minorEastAsia" w:cstheme="minorEastAsia"/>
          <w:sz w:val="24"/>
          <w:highlight w:val="none"/>
        </w:rPr>
        <w:t>月</w:t>
      </w:r>
      <w:r>
        <w:rPr>
          <w:rFonts w:hint="eastAsia" w:ascii="仿宋" w:eastAsia="仿宋" w:hAnsiTheme="minorEastAsia" w:cstheme="minorEastAsia"/>
          <w:sz w:val="24"/>
          <w:highlight w:val="none"/>
          <w:lang w:val="en-US" w:eastAsia="zh-CN"/>
        </w:rPr>
        <w:t>04</w:t>
      </w:r>
      <w:r>
        <w:rPr>
          <w:rFonts w:hint="eastAsia" w:ascii="仿宋" w:eastAsia="仿宋" w:hAnsiTheme="minorEastAsia" w:cstheme="minorEastAsia"/>
          <w:sz w:val="24"/>
          <w:highlight w:val="none"/>
        </w:rPr>
        <w:t>日前（同开标日）</w:t>
      </w:r>
    </w:p>
    <w:p w14:paraId="3C0D5032">
      <w:pPr>
        <w:spacing w:line="560" w:lineRule="exact"/>
        <w:ind w:firstLine="482"/>
        <w:jc w:val="left"/>
        <w:rPr>
          <w:rFonts w:ascii="仿宋" w:eastAsia="仿宋" w:hAnsiTheme="minorEastAsia" w:cstheme="minorEastAsia"/>
          <w:sz w:val="24"/>
          <w:highlight w:val="none"/>
        </w:rPr>
      </w:pPr>
      <w:r>
        <w:rPr>
          <w:rFonts w:hint="eastAsia" w:ascii="仿宋" w:eastAsia="仿宋" w:hAnsiTheme="minorEastAsia" w:cstheme="minorEastAsia"/>
          <w:sz w:val="24"/>
          <w:highlight w:val="none"/>
        </w:rPr>
        <w:t>6. 样品提交日：2026年</w:t>
      </w:r>
      <w:r>
        <w:rPr>
          <w:rFonts w:ascii="仿宋" w:eastAsia="仿宋" w:hAnsiTheme="minorEastAsia" w:cstheme="minorEastAsia"/>
          <w:sz w:val="24"/>
          <w:highlight w:val="none"/>
        </w:rPr>
        <w:t>09</w:t>
      </w:r>
      <w:r>
        <w:rPr>
          <w:rFonts w:hint="eastAsia" w:ascii="仿宋" w:eastAsia="仿宋" w:hAnsiTheme="minorEastAsia" w:cstheme="minorEastAsia"/>
          <w:sz w:val="24"/>
          <w:highlight w:val="none"/>
        </w:rPr>
        <w:t>月</w:t>
      </w:r>
      <w:r>
        <w:rPr>
          <w:rFonts w:hint="eastAsia" w:ascii="仿宋" w:eastAsia="仿宋" w:hAnsiTheme="minorEastAsia" w:cstheme="minorEastAsia"/>
          <w:sz w:val="24"/>
          <w:highlight w:val="none"/>
          <w:lang w:val="en-US" w:eastAsia="zh-CN"/>
        </w:rPr>
        <w:t>04</w:t>
      </w:r>
      <w:r>
        <w:rPr>
          <w:rFonts w:hint="eastAsia" w:ascii="仿宋" w:eastAsia="仿宋" w:hAnsiTheme="minorEastAsia" w:cstheme="minorEastAsia"/>
          <w:sz w:val="24"/>
          <w:highlight w:val="none"/>
        </w:rPr>
        <w:t>日前（同开标日）</w:t>
      </w:r>
    </w:p>
    <w:p w14:paraId="0930DBFB">
      <w:pPr>
        <w:spacing w:line="560" w:lineRule="exact"/>
        <w:ind w:firstLine="482"/>
        <w:jc w:val="left"/>
        <w:rPr>
          <w:rFonts w:ascii="仿宋" w:eastAsia="仿宋" w:hAnsiTheme="minorEastAsia" w:cstheme="minorEastAsia"/>
          <w:sz w:val="24"/>
          <w:highlight w:val="none"/>
        </w:rPr>
      </w:pPr>
      <w:r>
        <w:rPr>
          <w:rFonts w:hint="eastAsia" w:ascii="仿宋" w:eastAsia="仿宋" w:hAnsiTheme="minorEastAsia" w:cstheme="minorEastAsia"/>
          <w:sz w:val="24"/>
          <w:highlight w:val="none"/>
        </w:rPr>
        <w:t>7. 开标与评审日：2026年</w:t>
      </w:r>
      <w:r>
        <w:rPr>
          <w:rFonts w:ascii="仿宋" w:eastAsia="仿宋" w:hAnsiTheme="minorEastAsia" w:cstheme="minorEastAsia"/>
          <w:sz w:val="24"/>
          <w:highlight w:val="none"/>
        </w:rPr>
        <w:t>09</w:t>
      </w:r>
      <w:r>
        <w:rPr>
          <w:rFonts w:hint="eastAsia" w:ascii="仿宋" w:eastAsia="仿宋" w:hAnsiTheme="minorEastAsia" w:cstheme="minorEastAsia"/>
          <w:sz w:val="24"/>
          <w:highlight w:val="none"/>
        </w:rPr>
        <w:t>月</w:t>
      </w:r>
      <w:r>
        <w:rPr>
          <w:rFonts w:hint="eastAsia" w:ascii="仿宋" w:eastAsia="仿宋" w:hAnsiTheme="minorEastAsia" w:cstheme="minorEastAsia"/>
          <w:sz w:val="24"/>
          <w:highlight w:val="none"/>
          <w:lang w:val="en-US" w:eastAsia="zh-CN"/>
        </w:rPr>
        <w:t>04</w:t>
      </w:r>
      <w:r>
        <w:rPr>
          <w:rFonts w:hint="eastAsia" w:ascii="仿宋" w:eastAsia="仿宋" w:hAnsiTheme="minorEastAsia" w:cstheme="minorEastAsia"/>
          <w:sz w:val="24"/>
          <w:highlight w:val="none"/>
        </w:rPr>
        <w:t>日（同开标日）</w:t>
      </w:r>
    </w:p>
    <w:p w14:paraId="0B99DD66">
      <w:pPr>
        <w:spacing w:line="560" w:lineRule="exact"/>
        <w:ind w:firstLine="482"/>
        <w:jc w:val="left"/>
        <w:rPr>
          <w:rFonts w:ascii="仿宋" w:eastAsia="仿宋" w:hAnsiTheme="minorEastAsia" w:cstheme="minorEastAsia"/>
          <w:sz w:val="24"/>
          <w:highlight w:val="none"/>
        </w:rPr>
      </w:pPr>
      <w:r>
        <w:rPr>
          <w:rFonts w:hint="eastAsia" w:ascii="仿宋" w:eastAsia="仿宋" w:hAnsiTheme="minorEastAsia" w:cstheme="minorEastAsia"/>
          <w:sz w:val="24"/>
          <w:highlight w:val="none"/>
        </w:rPr>
        <w:t>8. 合同签订日：2026年</w:t>
      </w:r>
      <w:r>
        <w:rPr>
          <w:rFonts w:ascii="仿宋" w:eastAsia="仿宋" w:hAnsiTheme="minorEastAsia" w:cstheme="minorEastAsia"/>
          <w:sz w:val="24"/>
          <w:highlight w:val="none"/>
        </w:rPr>
        <w:t>09</w:t>
      </w:r>
      <w:r>
        <w:rPr>
          <w:rFonts w:hint="eastAsia" w:ascii="仿宋" w:eastAsia="仿宋" w:hAnsiTheme="minorEastAsia" w:cstheme="minorEastAsia"/>
          <w:sz w:val="24"/>
          <w:highlight w:val="none"/>
        </w:rPr>
        <w:t>月</w:t>
      </w:r>
      <w:r>
        <w:rPr>
          <w:rFonts w:hint="eastAsia" w:ascii="仿宋" w:eastAsia="仿宋" w:hAnsiTheme="minorEastAsia" w:cstheme="minorEastAsia"/>
          <w:sz w:val="24"/>
          <w:highlight w:val="none"/>
          <w:lang w:val="en-US" w:eastAsia="zh-CN"/>
        </w:rPr>
        <w:t>14</w:t>
      </w:r>
      <w:r>
        <w:rPr>
          <w:rFonts w:hint="eastAsia" w:ascii="仿宋" w:eastAsia="仿宋" w:hAnsiTheme="minorEastAsia" w:cstheme="minorEastAsia"/>
          <w:sz w:val="24"/>
          <w:highlight w:val="none"/>
        </w:rPr>
        <w:t>日前</w:t>
      </w:r>
    </w:p>
    <w:p w14:paraId="2B5F9C80">
      <w:pPr>
        <w:spacing w:line="560" w:lineRule="exact"/>
        <w:ind w:firstLine="482"/>
        <w:jc w:val="left"/>
        <w:rPr>
          <w:rFonts w:hint="eastAsia" w:ascii="仿宋" w:eastAsia="仿宋" w:hAnsiTheme="minorEastAsia" w:cstheme="minorEastAsia"/>
          <w:sz w:val="24"/>
          <w:highlight w:val="none"/>
          <w:lang w:val="en-US" w:eastAsia="zh-CN"/>
        </w:rPr>
      </w:pPr>
      <w:r>
        <w:rPr>
          <w:rFonts w:hint="eastAsia" w:ascii="仿宋" w:eastAsia="仿宋" w:hAnsiTheme="minorEastAsia" w:cstheme="minorEastAsia"/>
          <w:sz w:val="24"/>
          <w:highlight w:val="none"/>
          <w:lang w:val="en-US" w:eastAsia="zh-CN"/>
        </w:rPr>
        <w:t>9</w:t>
      </w:r>
      <w:r>
        <w:rPr>
          <w:rFonts w:hint="eastAsia" w:ascii="仿宋" w:eastAsia="仿宋" w:hAnsiTheme="minorEastAsia" w:cstheme="minorEastAsia"/>
          <w:sz w:val="24"/>
          <w:highlight w:val="none"/>
        </w:rPr>
        <w:t>. 最终交货日：2026年</w:t>
      </w:r>
      <w:r>
        <w:rPr>
          <w:rFonts w:ascii="仿宋" w:eastAsia="仿宋" w:hAnsiTheme="minorEastAsia" w:cstheme="minorEastAsia"/>
          <w:sz w:val="24"/>
          <w:highlight w:val="none"/>
        </w:rPr>
        <w:t>10</w:t>
      </w:r>
      <w:r>
        <w:rPr>
          <w:rFonts w:hint="eastAsia" w:ascii="仿宋" w:eastAsia="仿宋" w:hAnsiTheme="minorEastAsia" w:cstheme="minorEastAsia"/>
          <w:sz w:val="24"/>
          <w:highlight w:val="none"/>
        </w:rPr>
        <w:t>月</w:t>
      </w:r>
      <w:r>
        <w:rPr>
          <w:rFonts w:hint="eastAsia" w:ascii="仿宋" w:eastAsia="仿宋" w:hAnsiTheme="minorEastAsia" w:cstheme="minorEastAsia"/>
          <w:sz w:val="24"/>
          <w:highlight w:val="none"/>
          <w:lang w:val="en-US" w:eastAsia="zh-CN"/>
        </w:rPr>
        <w:t>13</w:t>
      </w:r>
      <w:r>
        <w:rPr>
          <w:rFonts w:hint="eastAsia" w:ascii="仿宋" w:eastAsia="仿宋" w:hAnsiTheme="minorEastAsia" w:cstheme="minorEastAsia"/>
          <w:sz w:val="24"/>
          <w:highlight w:val="none"/>
        </w:rPr>
        <w:t>日</w:t>
      </w:r>
      <w:r>
        <w:rPr>
          <w:rFonts w:hint="eastAsia" w:ascii="仿宋" w:eastAsia="仿宋" w:hAnsiTheme="minorEastAsia" w:cstheme="minorEastAsia"/>
          <w:sz w:val="24"/>
          <w:highlight w:val="none"/>
          <w:lang w:val="en-US" w:eastAsia="zh-CN"/>
        </w:rPr>
        <w:t>前</w:t>
      </w:r>
    </w:p>
    <w:p w14:paraId="6A97C8C3">
      <w:pPr>
        <w:spacing w:line="560" w:lineRule="exact"/>
        <w:ind w:firstLine="482"/>
        <w:jc w:val="left"/>
        <w:rPr>
          <w:rFonts w:ascii="仿宋" w:eastAsia="仿宋" w:hAnsiTheme="minorEastAsia" w:cstheme="minorEastAsia"/>
          <w:sz w:val="24"/>
          <w:highlight w:val="none"/>
        </w:rPr>
      </w:pPr>
      <w:r>
        <w:rPr>
          <w:rFonts w:hint="eastAsia" w:ascii="仿宋" w:eastAsia="仿宋" w:hAnsiTheme="minorEastAsia" w:cstheme="minorEastAsia"/>
          <w:sz w:val="24"/>
          <w:highlight w:val="none"/>
          <w:lang w:val="en-US" w:eastAsia="zh-CN"/>
        </w:rPr>
        <w:t>10</w:t>
      </w:r>
      <w:r>
        <w:rPr>
          <w:rFonts w:hint="eastAsia" w:ascii="仿宋" w:eastAsia="仿宋" w:hAnsiTheme="minorEastAsia" w:cstheme="minorEastAsia"/>
          <w:sz w:val="24"/>
          <w:highlight w:val="none"/>
        </w:rPr>
        <w:t>. 验收完成日：2026年10月</w:t>
      </w:r>
      <w:r>
        <w:rPr>
          <w:rFonts w:hint="eastAsia" w:ascii="仿宋" w:eastAsia="仿宋" w:hAnsiTheme="minorEastAsia" w:cstheme="minorEastAsia"/>
          <w:sz w:val="24"/>
          <w:highlight w:val="none"/>
          <w:lang w:val="en-US" w:eastAsia="zh-CN"/>
        </w:rPr>
        <w:t>20</w:t>
      </w:r>
      <w:r>
        <w:rPr>
          <w:rFonts w:hint="eastAsia" w:ascii="仿宋" w:eastAsia="仿宋" w:hAnsiTheme="minorEastAsia" w:cstheme="minorEastAsia"/>
          <w:sz w:val="24"/>
          <w:highlight w:val="none"/>
        </w:rPr>
        <w:t>日前</w:t>
      </w:r>
    </w:p>
    <w:p w14:paraId="751D0F70">
      <w:pPr>
        <w:spacing w:line="560" w:lineRule="exact"/>
        <w:ind w:firstLine="482"/>
        <w:jc w:val="left"/>
        <w:rPr>
          <w:rFonts w:ascii="仿宋" w:eastAsia="仿宋" w:hAnsiTheme="minorEastAsia" w:cstheme="minorEastAsia"/>
          <w:sz w:val="24"/>
          <w:highlight w:val="none"/>
        </w:rPr>
      </w:pPr>
      <w:r>
        <w:rPr>
          <w:rFonts w:hint="eastAsia" w:ascii="仿宋" w:eastAsia="仿宋" w:hAnsiTheme="minorEastAsia" w:cstheme="minorEastAsia"/>
          <w:sz w:val="24"/>
          <w:highlight w:val="none"/>
        </w:rPr>
        <w:t>11. 校服发放日：</w:t>
      </w:r>
      <w:r>
        <w:rPr>
          <w:rFonts w:hint="eastAsia" w:ascii="仿宋_GB2312" w:hAnsi="仿宋_GB2312" w:eastAsia="仿宋_GB2312" w:cs="仿宋_GB2312"/>
          <w:bCs/>
          <w:sz w:val="24"/>
          <w:highlight w:val="none"/>
          <w:lang w:val="en-US" w:eastAsia="zh-CN"/>
        </w:rPr>
        <w:t>2026年10月25日前。</w:t>
      </w:r>
    </w:p>
    <w:p w14:paraId="33271C6B">
      <w:pPr>
        <w:spacing w:before="200" w:after="100"/>
        <w:jc w:val="left"/>
        <w:outlineLvl w:val="0"/>
        <w:rPr>
          <w:rFonts w:ascii="黑体" w:eastAsia="黑体" w:hAnsiTheme="minorEastAsia" w:cstheme="minorEastAsia"/>
          <w:sz w:val="32"/>
        </w:rPr>
      </w:pPr>
      <w:r>
        <w:rPr>
          <w:rFonts w:hint="eastAsia" w:ascii="黑体" w:hAnsi="宋体" w:eastAsia="黑体" w:cs="宋体"/>
          <w:sz w:val="32"/>
          <w:lang w:val="en-US" w:eastAsia="zh-CN"/>
        </w:rPr>
        <w:t>七</w:t>
      </w:r>
      <w:r>
        <w:rPr>
          <w:rFonts w:hint="eastAsia" w:ascii="黑体" w:hAnsi="宋体" w:eastAsia="黑体" w:cs="宋体"/>
          <w:sz w:val="32"/>
        </w:rPr>
        <w:t>、</w:t>
      </w:r>
      <w:r>
        <w:rPr>
          <w:rFonts w:hint="eastAsia" w:ascii="黑体" w:eastAsia="黑体" w:hAnsiTheme="minorEastAsia" w:cstheme="minorEastAsia"/>
          <w:sz w:val="32"/>
        </w:rPr>
        <w:t>质量监督与验收</w:t>
      </w:r>
    </w:p>
    <w:p w14:paraId="0CB97DCF">
      <w:pPr>
        <w:spacing w:before="200" w:after="100"/>
        <w:jc w:val="left"/>
        <w:outlineLvl w:val="1"/>
        <w:rPr>
          <w:rFonts w:ascii="楷体" w:eastAsia="楷体" w:hAnsiTheme="minorEastAsia" w:cstheme="minorEastAsia"/>
          <w:sz w:val="32"/>
        </w:rPr>
      </w:pPr>
      <w:r>
        <w:rPr>
          <w:rFonts w:hint="eastAsia" w:ascii="楷体" w:eastAsia="楷体" w:hAnsiTheme="minorEastAsia" w:cstheme="minorEastAsia"/>
          <w:sz w:val="32"/>
        </w:rPr>
        <w:t>（一）检测标准</w:t>
      </w:r>
    </w:p>
    <w:p w14:paraId="1A581BF8">
      <w:pPr>
        <w:spacing w:line="560" w:lineRule="exact"/>
        <w:ind w:firstLine="482"/>
        <w:jc w:val="left"/>
        <w:rPr>
          <w:rFonts w:hint="eastAsia" w:ascii="仿宋" w:eastAsia="仿宋" w:hAnsiTheme="minorEastAsia" w:cstheme="minorEastAsia"/>
          <w:sz w:val="24"/>
          <w:highlight w:val="none"/>
        </w:rPr>
      </w:pPr>
      <w:r>
        <w:rPr>
          <w:rFonts w:hint="eastAsia" w:ascii="仿宋" w:eastAsia="仿宋" w:hAnsiTheme="minorEastAsia" w:cstheme="minorEastAsia"/>
          <w:sz w:val="24"/>
        </w:rPr>
        <w:t>委托具备法定资质的第三方质检机构对校服进行检测，检测项目涵盖纤维含量、甲醛含量、pH值、可分解致癌芳香胺染料、接缝强力、起球、耐皂洗色牢度、耐水色牢度、耐</w:t>
      </w:r>
      <w:r>
        <w:rPr>
          <w:rFonts w:hint="eastAsia" w:ascii="仿宋" w:eastAsia="仿宋" w:hAnsiTheme="minorEastAsia" w:cstheme="minorEastAsia"/>
          <w:sz w:val="24"/>
          <w:lang w:val="en-US" w:eastAsia="zh-CN"/>
        </w:rPr>
        <w:t>酸（碱）</w:t>
      </w:r>
      <w:r>
        <w:rPr>
          <w:rFonts w:hint="eastAsia" w:ascii="仿宋" w:eastAsia="仿宋" w:hAnsiTheme="minorEastAsia" w:cstheme="minorEastAsia"/>
          <w:sz w:val="24"/>
        </w:rPr>
        <w:t>汗渍色牢度、耐</w:t>
      </w:r>
      <w:r>
        <w:rPr>
          <w:rFonts w:hint="eastAsia" w:ascii="仿宋" w:eastAsia="仿宋" w:hAnsiTheme="minorEastAsia" w:cstheme="minorEastAsia"/>
          <w:sz w:val="24"/>
          <w:lang w:val="en-US" w:eastAsia="zh-CN"/>
        </w:rPr>
        <w:t>干（湿）</w:t>
      </w:r>
      <w:r>
        <w:rPr>
          <w:rFonts w:hint="eastAsia" w:ascii="仿宋" w:eastAsia="仿宋" w:hAnsiTheme="minorEastAsia" w:cstheme="minorEastAsia"/>
          <w:sz w:val="24"/>
        </w:rPr>
        <w:t>摩擦色牢度、耐光色牢度、耐光汗复合色牢度</w:t>
      </w:r>
      <w:r>
        <w:rPr>
          <w:rFonts w:hint="eastAsia" w:ascii="仿宋" w:eastAsia="仿宋" w:hAnsiTheme="minorEastAsia" w:cstheme="minorEastAsia"/>
          <w:sz w:val="24"/>
          <w:lang w:eastAsia="zh-CN"/>
        </w:rPr>
        <w:t>、</w:t>
      </w:r>
      <w:r>
        <w:rPr>
          <w:rFonts w:hint="eastAsia" w:ascii="仿宋" w:eastAsia="仿宋" w:hAnsiTheme="minorEastAsia" w:cstheme="minorEastAsia"/>
          <w:sz w:val="24"/>
          <w:lang w:val="en-US" w:eastAsia="zh-CN"/>
        </w:rPr>
        <w:t>绳带要求、金属残留针</w:t>
      </w:r>
      <w:r>
        <w:rPr>
          <w:rFonts w:hint="eastAsia" w:ascii="仿宋" w:eastAsia="仿宋" w:hAnsiTheme="minorEastAsia" w:cstheme="minorEastAsia"/>
          <w:sz w:val="24"/>
        </w:rPr>
        <w:t>等各项重点指标，检测结果</w:t>
      </w:r>
      <w:r>
        <w:rPr>
          <w:rFonts w:hint="eastAsia" w:ascii="仿宋" w:eastAsia="仿宋" w:hAnsiTheme="minorEastAsia" w:cstheme="minorEastAsia"/>
          <w:sz w:val="24"/>
          <w:highlight w:val="none"/>
        </w:rPr>
        <w:t>需符合国家相关安全标准。检测报告将进行公示，接受家长与社会监督。</w:t>
      </w:r>
    </w:p>
    <w:p w14:paraId="6D59C1CE">
      <w:pPr>
        <w:spacing w:before="200" w:after="100"/>
        <w:jc w:val="left"/>
        <w:outlineLvl w:val="1"/>
        <w:rPr>
          <w:rFonts w:ascii="楷体" w:eastAsia="楷体" w:hAnsiTheme="minorEastAsia" w:cstheme="minorEastAsia"/>
          <w:sz w:val="32"/>
        </w:rPr>
      </w:pPr>
      <w:r>
        <w:rPr>
          <w:rFonts w:hint="eastAsia" w:ascii="楷体" w:eastAsia="楷体" w:hAnsiTheme="minorEastAsia" w:cstheme="minorEastAsia"/>
          <w:sz w:val="32"/>
        </w:rPr>
        <w:t>（二）验收流程</w:t>
      </w:r>
    </w:p>
    <w:p w14:paraId="69553381">
      <w:pPr>
        <w:spacing w:line="560" w:lineRule="exact"/>
        <w:ind w:firstLine="482"/>
        <w:jc w:val="left"/>
        <w:rPr>
          <w:rFonts w:ascii="仿宋" w:eastAsia="仿宋" w:hAnsiTheme="minorEastAsia" w:cstheme="minorEastAsia"/>
          <w:sz w:val="24"/>
          <w:highlight w:val="none"/>
        </w:rPr>
      </w:pPr>
      <w:r>
        <w:rPr>
          <w:rFonts w:hint="eastAsia" w:ascii="仿宋" w:eastAsia="仿宋" w:hAnsiTheme="minorEastAsia" w:cstheme="minorEastAsia"/>
          <w:sz w:val="24"/>
        </w:rPr>
        <w:t>1. 校服初验：供应商交货后，组织验收工作组（学校代表2人，家长代表3人）对校服的种类、数量、外包装、标识、货品有无破损等进行查看，查验供应商提供的本批次大货面料、辅料检验报告及购买凭证纸质版并按招标文件、本合同约定的质量标准及投标时提供的样衣对产品质量进行初步验收。</w:t>
      </w:r>
    </w:p>
    <w:p w14:paraId="288196C0">
      <w:pPr>
        <w:spacing w:line="560" w:lineRule="exact"/>
        <w:ind w:firstLine="482"/>
        <w:jc w:val="left"/>
        <w:rPr>
          <w:rFonts w:ascii="仿宋" w:eastAsia="仿宋" w:hAnsiTheme="minorEastAsia" w:cstheme="minorEastAsia"/>
          <w:color w:val="000000" w:themeColor="text1"/>
          <w:sz w:val="24"/>
          <w:highlight w:val="none"/>
          <w14:textFill>
            <w14:solidFill>
              <w14:schemeClr w14:val="tx1"/>
            </w14:solidFill>
          </w14:textFill>
        </w:rPr>
      </w:pPr>
      <w:r>
        <w:rPr>
          <w:rFonts w:hint="eastAsia" w:ascii="仿宋" w:eastAsia="仿宋" w:hAnsiTheme="minorEastAsia" w:cstheme="minorEastAsia"/>
          <w:sz w:val="24"/>
          <w:highlight w:val="none"/>
        </w:rPr>
        <w:t>2. 二次抽测：</w:t>
      </w:r>
      <w:r>
        <w:rPr>
          <w:rFonts w:hint="eastAsia" w:ascii="仿宋_GB2312" w:hAnsi="仿宋_GB2312" w:eastAsia="仿宋_GB2312" w:cs="仿宋_GB2312"/>
          <w:bCs/>
          <w:sz w:val="24"/>
          <w:highlight w:val="none"/>
          <w:lang w:val="zh-CN"/>
        </w:rPr>
        <w:t>验收工作组从</w:t>
      </w:r>
      <w:r>
        <w:rPr>
          <w:rFonts w:hint="eastAsia" w:ascii="仿宋" w:hAnsi="仿宋" w:eastAsia="仿宋" w:cs="仿宋"/>
          <w:color w:val="auto"/>
          <w:sz w:val="24"/>
          <w:szCs w:val="24"/>
          <w:highlight w:val="none"/>
          <w:lang w:val="en-US" w:eastAsia="zh-CN"/>
        </w:rPr>
        <w:t>每批次产品的</w:t>
      </w:r>
      <w:r>
        <w:rPr>
          <w:rFonts w:hint="eastAsia" w:ascii="仿宋_GB2312" w:hAnsi="仿宋_GB2312" w:eastAsia="仿宋_GB2312" w:cs="仿宋_GB2312"/>
          <w:bCs/>
          <w:sz w:val="24"/>
          <w:highlight w:val="none"/>
          <w:lang w:val="zh-CN"/>
        </w:rPr>
        <w:t>各款式校服中随机抽取各成衣3</w:t>
      </w:r>
      <w:r>
        <w:rPr>
          <w:rFonts w:hint="eastAsia" w:ascii="仿宋_GB2312" w:hAnsi="仿宋_GB2312" w:eastAsia="仿宋_GB2312" w:cs="仿宋_GB2312"/>
          <w:bCs/>
          <w:sz w:val="24"/>
          <w:highlight w:val="none"/>
          <w:lang w:val="en-US" w:eastAsia="zh-CN"/>
        </w:rPr>
        <w:t>套</w:t>
      </w:r>
      <w:r>
        <w:rPr>
          <w:rFonts w:hint="eastAsia" w:ascii="仿宋_GB2312" w:hAnsi="仿宋_GB2312" w:eastAsia="仿宋_GB2312" w:cs="仿宋_GB2312"/>
          <w:bCs/>
          <w:sz w:val="24"/>
          <w:highlight w:val="none"/>
          <w:lang w:val="zh-CN"/>
        </w:rPr>
        <w:t>(一份检测，</w:t>
      </w:r>
      <w:r>
        <w:rPr>
          <w:rFonts w:hint="eastAsia" w:ascii="仿宋" w:hAnsi="仿宋" w:eastAsia="仿宋" w:cs="仿宋"/>
          <w:spacing w:val="6"/>
          <w:sz w:val="24"/>
          <w:szCs w:val="24"/>
          <w:highlight w:val="none"/>
          <w:lang w:val="zh-CN"/>
        </w:rPr>
        <w:t>二份留样</w:t>
      </w:r>
      <w:r>
        <w:rPr>
          <w:rFonts w:hint="eastAsia" w:ascii="仿宋" w:hAnsi="仿宋" w:eastAsia="仿宋" w:cs="仿宋"/>
          <w:color w:val="auto"/>
          <w:sz w:val="24"/>
          <w:szCs w:val="24"/>
          <w:highlight w:val="none"/>
          <w:lang w:val="en-US" w:eastAsia="zh-CN"/>
        </w:rPr>
        <w:t>封存一年</w:t>
      </w:r>
      <w:r>
        <w:rPr>
          <w:rFonts w:hint="eastAsia" w:ascii="仿宋" w:hAnsi="仿宋" w:eastAsia="仿宋" w:cs="仿宋"/>
          <w:spacing w:val="6"/>
          <w:sz w:val="24"/>
          <w:szCs w:val="24"/>
          <w:highlight w:val="none"/>
          <w:lang w:val="zh-CN"/>
        </w:rPr>
        <w:t>备复检</w:t>
      </w:r>
      <w:r>
        <w:rPr>
          <w:rFonts w:hint="eastAsia" w:ascii="仿宋_GB2312" w:hAnsi="仿宋_GB2312" w:eastAsia="仿宋_GB2312" w:cs="仿宋_GB2312"/>
          <w:bCs/>
          <w:sz w:val="24"/>
          <w:highlight w:val="none"/>
          <w:lang w:val="zh-CN"/>
        </w:rPr>
        <w:t>),委托具备法定资质的第三方质检机构对校服进行检测，检测费用由学校承担，确保批量产品质量达标</w:t>
      </w:r>
      <w:r>
        <w:rPr>
          <w:rFonts w:hint="eastAsia" w:ascii="仿宋" w:eastAsia="仿宋" w:hAnsiTheme="minorEastAsia" w:cstheme="minorEastAsia"/>
          <w:color w:val="000000" w:themeColor="text1"/>
          <w:sz w:val="24"/>
          <w:highlight w:val="none"/>
          <w14:textFill>
            <w14:solidFill>
              <w14:schemeClr w14:val="tx1"/>
            </w14:solidFill>
          </w14:textFill>
        </w:rPr>
        <w:t>。</w:t>
      </w:r>
      <w:r>
        <w:rPr>
          <w:rFonts w:hint="eastAsia" w:ascii="仿宋" w:hAnsi="仿宋" w:eastAsia="仿宋" w:cs="仿宋"/>
          <w:spacing w:val="6"/>
          <w:sz w:val="24"/>
          <w:szCs w:val="24"/>
          <w:highlight w:val="none"/>
          <w:lang w:val="zh-CN"/>
        </w:rPr>
        <w:t>二次送检的检测项目与招标文件要求一致。</w:t>
      </w:r>
    </w:p>
    <w:p w14:paraId="5683F755">
      <w:pPr>
        <w:spacing w:line="560" w:lineRule="exact"/>
        <w:ind w:firstLine="482"/>
        <w:jc w:val="left"/>
        <w:rPr>
          <w:rFonts w:ascii="仿宋" w:eastAsia="仿宋" w:hAnsiTheme="minorEastAsia" w:cstheme="minorEastAsia"/>
          <w:color w:val="000000" w:themeColor="text1"/>
          <w:sz w:val="24"/>
          <w14:textFill>
            <w14:solidFill>
              <w14:schemeClr w14:val="tx1"/>
            </w14:solidFill>
          </w14:textFill>
        </w:rPr>
      </w:pPr>
      <w:r>
        <w:rPr>
          <w:rFonts w:hint="eastAsia" w:ascii="仿宋" w:eastAsia="仿宋" w:hAnsiTheme="minorEastAsia" w:cstheme="minorEastAsia"/>
          <w:color w:val="000000" w:themeColor="text1"/>
          <w:sz w:val="24"/>
          <w14:textFill>
            <w14:solidFill>
              <w14:schemeClr w14:val="tx1"/>
            </w14:solidFill>
          </w14:textFill>
        </w:rPr>
        <w:t>3. 学生试穿反馈：组织部分学生试穿校服，收集学生及家长关于尺码适配性、穿着舒适度、面料手感等方面的反馈意见。</w:t>
      </w:r>
    </w:p>
    <w:p w14:paraId="0E128208">
      <w:pPr>
        <w:spacing w:line="560" w:lineRule="exact"/>
        <w:ind w:firstLine="482"/>
        <w:jc w:val="left"/>
        <w:rPr>
          <w:rFonts w:ascii="仿宋" w:eastAsia="仿宋" w:hAnsiTheme="minorEastAsia" w:cstheme="minorEastAsia"/>
          <w:color w:val="000000" w:themeColor="text1"/>
          <w:sz w:val="24"/>
          <w14:textFill>
            <w14:solidFill>
              <w14:schemeClr w14:val="tx1"/>
            </w14:solidFill>
          </w14:textFill>
        </w:rPr>
      </w:pPr>
      <w:r>
        <w:rPr>
          <w:rFonts w:hint="eastAsia" w:ascii="仿宋" w:eastAsia="仿宋" w:hAnsiTheme="minorEastAsia" w:cstheme="minorEastAsia"/>
          <w:color w:val="000000" w:themeColor="text1"/>
          <w:sz w:val="24"/>
          <w14:textFill>
            <w14:solidFill>
              <w14:schemeClr w14:val="tx1"/>
            </w14:solidFill>
          </w14:textFill>
        </w:rPr>
        <w:t>4. 组织验收：结合初验结果、二次抽测报告及试穿反馈意见，验收工作组</w:t>
      </w:r>
      <w:r>
        <w:rPr>
          <w:rFonts w:hint="eastAsia" w:ascii="仿宋" w:eastAsia="仿宋" w:hAnsiTheme="minorEastAsia" w:cstheme="minorEastAsia"/>
          <w:color w:val="000000" w:themeColor="text1"/>
          <w:sz w:val="24"/>
          <w:highlight w:val="none"/>
          <w14:textFill>
            <w14:solidFill>
              <w14:schemeClr w14:val="tx1"/>
            </w14:solidFill>
          </w14:textFill>
        </w:rPr>
        <w:t>（学校代表</w:t>
      </w:r>
      <w:r>
        <w:rPr>
          <w:rFonts w:hint="eastAsia" w:ascii="仿宋" w:eastAsia="仿宋" w:hAnsiTheme="minorEastAsia" w:cstheme="minorEastAsia"/>
          <w:color w:val="000000" w:themeColor="text1"/>
          <w:sz w:val="24"/>
          <w:highlight w:val="none"/>
          <w:lang w:val="en-US" w:eastAsia="zh-CN"/>
          <w14:textFill>
            <w14:solidFill>
              <w14:schemeClr w14:val="tx1"/>
            </w14:solidFill>
          </w14:textFill>
        </w:rPr>
        <w:t>2</w:t>
      </w:r>
      <w:r>
        <w:rPr>
          <w:rFonts w:hint="eastAsia" w:ascii="仿宋" w:eastAsia="仿宋" w:hAnsiTheme="minorEastAsia" w:cstheme="minorEastAsia"/>
          <w:color w:val="000000" w:themeColor="text1"/>
          <w:sz w:val="24"/>
          <w:highlight w:val="none"/>
          <w14:textFill>
            <w14:solidFill>
              <w14:schemeClr w14:val="tx1"/>
            </w14:solidFill>
          </w14:textFill>
        </w:rPr>
        <w:t>人，家长</w:t>
      </w:r>
      <w:r>
        <w:rPr>
          <w:rFonts w:hint="eastAsia" w:ascii="仿宋" w:eastAsia="仿宋" w:hAnsiTheme="minorEastAsia" w:cstheme="minorEastAsia"/>
          <w:color w:val="000000" w:themeColor="text1"/>
          <w:sz w:val="24"/>
          <w14:textFill>
            <w14:solidFill>
              <w14:schemeClr w14:val="tx1"/>
            </w14:solidFill>
          </w14:textFill>
        </w:rPr>
        <w:t>代表3人）召开验收会议，形成验收结论。验收合格的，签署验收合格文件；验收不合格的，要求供应商限期整改，整改后重新组织验收。</w:t>
      </w:r>
    </w:p>
    <w:p w14:paraId="68F6089E">
      <w:pPr>
        <w:spacing w:before="200" w:after="100"/>
        <w:jc w:val="left"/>
        <w:outlineLvl w:val="0"/>
        <w:rPr>
          <w:rFonts w:ascii="黑体" w:eastAsia="黑体" w:hAnsiTheme="minorEastAsia" w:cstheme="minorEastAsia"/>
          <w:color w:val="000000" w:themeColor="text1"/>
          <w:sz w:val="32"/>
          <w14:textFill>
            <w14:solidFill>
              <w14:schemeClr w14:val="tx1"/>
            </w14:solidFill>
          </w14:textFill>
        </w:rPr>
      </w:pPr>
      <w:r>
        <w:rPr>
          <w:rFonts w:hint="eastAsia" w:ascii="黑体" w:eastAsia="黑体" w:hAnsiTheme="minorEastAsia" w:cstheme="minorEastAsia"/>
          <w:color w:val="000000" w:themeColor="text1"/>
          <w:sz w:val="32"/>
          <w:lang w:val="en-US" w:eastAsia="zh-CN"/>
          <w14:textFill>
            <w14:solidFill>
              <w14:schemeClr w14:val="tx1"/>
            </w14:solidFill>
          </w14:textFill>
        </w:rPr>
        <w:t>八</w:t>
      </w:r>
      <w:r>
        <w:rPr>
          <w:rFonts w:hint="eastAsia" w:ascii="黑体" w:eastAsia="黑体" w:hAnsiTheme="minorEastAsia" w:cstheme="minorEastAsia"/>
          <w:color w:val="000000" w:themeColor="text1"/>
          <w:sz w:val="32"/>
          <w14:textFill>
            <w14:solidFill>
              <w14:schemeClr w14:val="tx1"/>
            </w14:solidFill>
          </w14:textFill>
        </w:rPr>
        <w:t>、费用管理与支付方式</w:t>
      </w:r>
    </w:p>
    <w:p w14:paraId="730D37E9">
      <w:pPr>
        <w:spacing w:line="560" w:lineRule="exact"/>
        <w:ind w:firstLine="480" w:firstLineChars="200"/>
        <w:jc w:val="left"/>
        <w:rPr>
          <w:rFonts w:ascii="仿宋" w:eastAsia="仿宋" w:hAnsiTheme="minorEastAsia" w:cstheme="minorEastAsia"/>
          <w:color w:val="000000" w:themeColor="text1"/>
          <w:sz w:val="24"/>
          <w:highlight w:val="none"/>
          <w14:textFill>
            <w14:solidFill>
              <w14:schemeClr w14:val="tx1"/>
            </w14:solidFill>
          </w14:textFill>
        </w:rPr>
      </w:pPr>
      <w:r>
        <w:rPr>
          <w:rFonts w:hint="eastAsia" w:ascii="仿宋" w:eastAsia="仿宋" w:hAnsiTheme="minorEastAsia" w:cstheme="minorEastAsia"/>
          <w:color w:val="000000" w:themeColor="text1"/>
          <w:sz w:val="24"/>
          <w:highlight w:val="none"/>
          <w14:textFill>
            <w14:solidFill>
              <w14:schemeClr w14:val="tx1"/>
            </w14:solidFill>
          </w14:textFill>
        </w:rPr>
        <w:t>1. 费用支付：</w:t>
      </w:r>
      <w:r>
        <w:rPr>
          <w:rFonts w:hint="eastAsia" w:ascii="仿宋" w:hAnsi="宋体" w:eastAsia="仿宋" w:cs="宋体"/>
          <w:color w:val="000000" w:themeColor="text1"/>
          <w:sz w:val="24"/>
          <w:highlight w:val="none"/>
          <w14:textFill>
            <w14:solidFill>
              <w14:schemeClr w14:val="tx1"/>
            </w14:solidFill>
          </w14:textFill>
        </w:rPr>
        <w:t>校服费用由家长承担。学校按照本级财政要求的方式进行代收代付，专款专用，不得挪用、截留。在校服验收合格并全部发放完成后</w:t>
      </w:r>
      <w:r>
        <w:rPr>
          <w:rFonts w:hint="eastAsia" w:ascii="仿宋" w:hAnsi="宋体" w:eastAsia="仿宋" w:cs="宋体"/>
          <w:color w:val="000000" w:themeColor="text1"/>
          <w:sz w:val="24"/>
          <w:highlight w:val="none"/>
          <w:lang w:val="en-US" w:eastAsia="zh-CN"/>
          <w14:textFill>
            <w14:solidFill>
              <w14:schemeClr w14:val="tx1"/>
            </w14:solidFill>
          </w14:textFill>
        </w:rPr>
        <w:t>一次性付款</w:t>
      </w:r>
      <w:r>
        <w:rPr>
          <w:rFonts w:hint="eastAsia" w:ascii="仿宋" w:hAnsi="宋体" w:eastAsia="仿宋" w:cs="宋体"/>
          <w:color w:val="000000" w:themeColor="text1"/>
          <w:sz w:val="24"/>
          <w:highlight w:val="none"/>
          <w14:textFill>
            <w14:solidFill>
              <w14:schemeClr w14:val="tx1"/>
            </w14:solidFill>
          </w14:textFill>
        </w:rPr>
        <w:t>，学校向供应商支付全部采购款项。</w:t>
      </w:r>
    </w:p>
    <w:p w14:paraId="48C9AF60">
      <w:pPr>
        <w:spacing w:line="560" w:lineRule="exact"/>
        <w:ind w:firstLine="480" w:firstLineChars="200"/>
        <w:jc w:val="left"/>
        <w:rPr>
          <w:rFonts w:ascii="仿宋" w:eastAsia="仿宋" w:hAnsiTheme="minorEastAsia" w:cstheme="minorEastAsia"/>
          <w:color w:val="000000" w:themeColor="text1"/>
          <w:sz w:val="24"/>
          <w:highlight w:val="none"/>
          <w14:textFill>
            <w14:solidFill>
              <w14:schemeClr w14:val="tx1"/>
            </w14:solidFill>
          </w14:textFill>
        </w:rPr>
      </w:pPr>
      <w:r>
        <w:rPr>
          <w:rFonts w:hint="eastAsia" w:ascii="仿宋" w:eastAsia="仿宋" w:hAnsiTheme="minorEastAsia" w:cstheme="minorEastAsia"/>
          <w:color w:val="000000" w:themeColor="text1"/>
          <w:sz w:val="24"/>
          <w:highlight w:val="none"/>
          <w14:textFill>
            <w14:solidFill>
              <w14:schemeClr w14:val="tx1"/>
            </w14:solidFill>
          </w14:textFill>
        </w:rPr>
        <w:t>2. 价格透明：中标</w:t>
      </w:r>
      <w:r>
        <w:rPr>
          <w:rFonts w:hint="eastAsia" w:ascii="仿宋" w:eastAsia="仿宋" w:hAnsiTheme="minorEastAsia" w:cstheme="minorEastAsia"/>
          <w:color w:val="000000" w:themeColor="text1"/>
          <w:sz w:val="24"/>
          <w:highlight w:val="none"/>
          <w:lang w:val="en-US" w:eastAsia="zh-CN"/>
          <w14:textFill>
            <w14:solidFill>
              <w14:schemeClr w14:val="tx1"/>
            </w14:solidFill>
          </w14:textFill>
        </w:rPr>
        <w:t>单价</w:t>
      </w:r>
      <w:r>
        <w:rPr>
          <w:rFonts w:hint="eastAsia" w:ascii="仿宋" w:eastAsia="仿宋" w:hAnsiTheme="minorEastAsia" w:cstheme="minorEastAsia"/>
          <w:color w:val="000000" w:themeColor="text1"/>
          <w:sz w:val="24"/>
          <w:highlight w:val="none"/>
          <w14:textFill>
            <w14:solidFill>
              <w14:schemeClr w14:val="tx1"/>
            </w14:solidFill>
          </w14:textFill>
        </w:rPr>
        <w:t>即为最终零售价，一价到底，</w:t>
      </w:r>
      <w:r>
        <w:rPr>
          <w:rFonts w:hint="eastAsia" w:ascii="仿宋" w:hAnsi="仿宋" w:eastAsia="仿宋" w:cs="仿宋"/>
          <w:bCs/>
          <w:sz w:val="24"/>
          <w:highlight w:val="none"/>
          <w:lang w:val="zh-CN"/>
        </w:rPr>
        <w:t>包装费、快递费等由</w:t>
      </w:r>
      <w:r>
        <w:rPr>
          <w:rFonts w:hint="eastAsia" w:ascii="仿宋_GB2312" w:hAnsi="仿宋_GB2312" w:eastAsia="仿宋_GB2312" w:cs="仿宋_GB2312"/>
          <w:bCs/>
          <w:sz w:val="24"/>
          <w:highlight w:val="none"/>
          <w:lang w:val="en-US" w:eastAsia="zh-CN"/>
        </w:rPr>
        <w:t>供应商</w:t>
      </w:r>
      <w:r>
        <w:rPr>
          <w:rFonts w:hint="eastAsia" w:ascii="仿宋" w:hAnsi="仿宋" w:eastAsia="仿宋" w:cs="仿宋"/>
          <w:bCs/>
          <w:sz w:val="24"/>
          <w:highlight w:val="none"/>
          <w:lang w:val="zh-CN"/>
        </w:rPr>
        <w:t>承担，</w:t>
      </w:r>
      <w:r>
        <w:rPr>
          <w:rFonts w:hint="eastAsia" w:ascii="仿宋" w:eastAsia="仿宋" w:hAnsiTheme="minorEastAsia" w:cstheme="minorEastAsia"/>
          <w:color w:val="000000" w:themeColor="text1"/>
          <w:sz w:val="24"/>
          <w:highlight w:val="none"/>
          <w14:textFill>
            <w14:solidFill>
              <w14:schemeClr w14:val="tx1"/>
            </w14:solidFill>
          </w14:textFill>
        </w:rPr>
        <w:t>并</w:t>
      </w:r>
      <w:r>
        <w:rPr>
          <w:rFonts w:hint="eastAsia" w:ascii="仿宋" w:eastAsia="仿宋" w:hAnsiTheme="minorEastAsia" w:cstheme="minorEastAsia"/>
          <w:color w:val="000000" w:themeColor="text1"/>
          <w:sz w:val="24"/>
          <w:highlight w:val="none"/>
          <w:lang w:val="en-US" w:eastAsia="zh-CN"/>
          <w14:textFill>
            <w14:solidFill>
              <w14:schemeClr w14:val="tx1"/>
            </w14:solidFill>
          </w14:textFill>
        </w:rPr>
        <w:t>进行</w:t>
      </w:r>
      <w:r>
        <w:rPr>
          <w:rFonts w:hint="eastAsia" w:ascii="仿宋" w:eastAsia="仿宋" w:hAnsiTheme="minorEastAsia" w:cstheme="minorEastAsia"/>
          <w:color w:val="000000" w:themeColor="text1"/>
          <w:sz w:val="24"/>
          <w:highlight w:val="none"/>
          <w14:textFill>
            <w14:solidFill>
              <w14:schemeClr w14:val="tx1"/>
            </w14:solidFill>
          </w14:textFill>
        </w:rPr>
        <w:t>公示。</w:t>
      </w:r>
    </w:p>
    <w:p w14:paraId="1B29015B">
      <w:pPr>
        <w:spacing w:line="560" w:lineRule="exact"/>
        <w:ind w:firstLine="482"/>
        <w:jc w:val="left"/>
        <w:rPr>
          <w:rFonts w:ascii="仿宋" w:eastAsia="仿宋" w:hAnsiTheme="minorEastAsia" w:cstheme="minorEastAsia"/>
          <w:color w:val="000000" w:themeColor="text1"/>
          <w:sz w:val="24"/>
          <w:highlight w:val="none"/>
          <w14:textFill>
            <w14:solidFill>
              <w14:schemeClr w14:val="tx1"/>
            </w14:solidFill>
          </w14:textFill>
        </w:rPr>
      </w:pPr>
      <w:r>
        <w:rPr>
          <w:rFonts w:hint="eastAsia" w:ascii="仿宋" w:eastAsia="仿宋" w:hAnsiTheme="minorEastAsia" w:cstheme="minorEastAsia"/>
          <w:color w:val="000000" w:themeColor="text1"/>
          <w:sz w:val="24"/>
          <w:highlight w:val="none"/>
          <w14:textFill>
            <w14:solidFill>
              <w14:schemeClr w14:val="tx1"/>
            </w14:solidFill>
          </w14:textFill>
        </w:rPr>
        <w:t>3. 贫困补助：为保障贫困学生的基本权益，确保其能正常穿着校服参与集体活动，制定贫困生校服减免政策。家庭经济困难学生，凭低保证、特困供养证明及其它相关证明材料，由家长本人向学校提出减免申请，经专项工作组审核确认后，其校服费用由学校公用经费承担。</w:t>
      </w:r>
    </w:p>
    <w:p w14:paraId="28369506">
      <w:pPr>
        <w:spacing w:before="200" w:after="100"/>
        <w:jc w:val="left"/>
        <w:outlineLvl w:val="0"/>
        <w:rPr>
          <w:rFonts w:ascii="黑体" w:eastAsia="黑体" w:hAnsiTheme="minorEastAsia" w:cstheme="minorEastAsia"/>
          <w:color w:val="000000" w:themeColor="text1"/>
          <w:sz w:val="32"/>
          <w:highlight w:val="none"/>
          <w14:textFill>
            <w14:solidFill>
              <w14:schemeClr w14:val="tx1"/>
            </w14:solidFill>
          </w14:textFill>
        </w:rPr>
      </w:pPr>
      <w:r>
        <w:rPr>
          <w:rFonts w:hint="eastAsia" w:ascii="黑体" w:eastAsia="黑体" w:hAnsiTheme="minorEastAsia" w:cstheme="minorEastAsia"/>
          <w:color w:val="000000" w:themeColor="text1"/>
          <w:sz w:val="32"/>
          <w:highlight w:val="none"/>
          <w:lang w:val="en-US" w:eastAsia="zh-CN"/>
          <w14:textFill>
            <w14:solidFill>
              <w14:schemeClr w14:val="tx1"/>
            </w14:solidFill>
          </w14:textFill>
        </w:rPr>
        <w:t>九</w:t>
      </w:r>
      <w:r>
        <w:rPr>
          <w:rFonts w:hint="eastAsia" w:ascii="黑体" w:eastAsia="黑体" w:hAnsiTheme="minorEastAsia" w:cstheme="minorEastAsia"/>
          <w:color w:val="000000" w:themeColor="text1"/>
          <w:sz w:val="32"/>
          <w:highlight w:val="none"/>
          <w14:textFill>
            <w14:solidFill>
              <w14:schemeClr w14:val="tx1"/>
            </w14:solidFill>
          </w14:textFill>
        </w:rPr>
        <w:t>、风险控制与应急预案</w:t>
      </w:r>
    </w:p>
    <w:p w14:paraId="33BCF8E5">
      <w:pPr>
        <w:spacing w:before="200" w:after="100"/>
        <w:jc w:val="left"/>
        <w:outlineLvl w:val="1"/>
        <w:rPr>
          <w:rFonts w:ascii="楷体" w:eastAsia="楷体" w:hAnsiTheme="minorEastAsia" w:cstheme="minorEastAsia"/>
          <w:color w:val="000000" w:themeColor="text1"/>
          <w:sz w:val="32"/>
          <w:highlight w:val="none"/>
          <w14:textFill>
            <w14:solidFill>
              <w14:schemeClr w14:val="tx1"/>
            </w14:solidFill>
          </w14:textFill>
        </w:rPr>
      </w:pPr>
      <w:r>
        <w:rPr>
          <w:rFonts w:hint="eastAsia" w:ascii="楷体" w:eastAsia="楷体" w:hAnsiTheme="minorEastAsia" w:cstheme="minorEastAsia"/>
          <w:color w:val="000000" w:themeColor="text1"/>
          <w:sz w:val="32"/>
          <w:highlight w:val="none"/>
          <w14:textFill>
            <w14:solidFill>
              <w14:schemeClr w14:val="tx1"/>
            </w14:solidFill>
          </w14:textFill>
        </w:rPr>
        <w:t>（一）风险点</w:t>
      </w:r>
    </w:p>
    <w:p w14:paraId="6AAD3F4F">
      <w:pPr>
        <w:spacing w:line="560" w:lineRule="exact"/>
        <w:ind w:firstLine="482"/>
        <w:jc w:val="left"/>
        <w:rPr>
          <w:rFonts w:ascii="仿宋" w:eastAsia="仿宋" w:hAnsiTheme="minorEastAsia" w:cstheme="minorEastAsia"/>
          <w:color w:val="000000" w:themeColor="text1"/>
          <w:sz w:val="24"/>
          <w:highlight w:val="none"/>
          <w14:textFill>
            <w14:solidFill>
              <w14:schemeClr w14:val="tx1"/>
            </w14:solidFill>
          </w14:textFill>
        </w:rPr>
      </w:pPr>
      <w:r>
        <w:rPr>
          <w:rFonts w:hint="eastAsia" w:ascii="仿宋" w:eastAsia="仿宋" w:hAnsiTheme="minorEastAsia" w:cstheme="minorEastAsia"/>
          <w:color w:val="000000" w:themeColor="text1"/>
          <w:sz w:val="24"/>
          <w:highlight w:val="none"/>
          <w14:textFill>
            <w14:solidFill>
              <w14:schemeClr w14:val="tx1"/>
            </w14:solidFill>
          </w14:textFill>
        </w:rPr>
        <w:t>1. 招标质疑投诉：可能出现供应商对招标流程、评审结果提出质疑或投诉的情况。</w:t>
      </w:r>
    </w:p>
    <w:p w14:paraId="69223906">
      <w:pPr>
        <w:spacing w:line="560" w:lineRule="exact"/>
        <w:ind w:firstLine="482"/>
        <w:jc w:val="left"/>
        <w:rPr>
          <w:rFonts w:ascii="仿宋" w:eastAsia="仿宋" w:hAnsiTheme="minorEastAsia" w:cstheme="minorEastAsia"/>
          <w:color w:val="000000" w:themeColor="text1"/>
          <w:sz w:val="24"/>
          <w:highlight w:val="none"/>
          <w14:textFill>
            <w14:solidFill>
              <w14:schemeClr w14:val="tx1"/>
            </w14:solidFill>
          </w14:textFill>
        </w:rPr>
      </w:pPr>
      <w:r>
        <w:rPr>
          <w:rFonts w:hint="eastAsia" w:ascii="仿宋" w:eastAsia="仿宋" w:hAnsiTheme="minorEastAsia" w:cstheme="minorEastAsia"/>
          <w:color w:val="000000" w:themeColor="text1"/>
          <w:sz w:val="24"/>
          <w:highlight w:val="none"/>
          <w14:textFill>
            <w14:solidFill>
              <w14:schemeClr w14:val="tx1"/>
            </w14:solidFill>
          </w14:textFill>
        </w:rPr>
        <w:t>2. 供应商延迟交货：受生产进度、物流运输等因素影响，供应商可能无法按时交付校服。</w:t>
      </w:r>
    </w:p>
    <w:p w14:paraId="01CC6CB2">
      <w:pPr>
        <w:spacing w:line="560" w:lineRule="exact"/>
        <w:ind w:firstLine="482"/>
        <w:jc w:val="left"/>
        <w:rPr>
          <w:rFonts w:ascii="仿宋" w:eastAsia="仿宋" w:hAnsiTheme="minorEastAsia" w:cstheme="minorEastAsia"/>
          <w:color w:val="000000" w:themeColor="text1"/>
          <w:sz w:val="24"/>
          <w:highlight w:val="none"/>
          <w14:textFill>
            <w14:solidFill>
              <w14:schemeClr w14:val="tx1"/>
            </w14:solidFill>
          </w14:textFill>
        </w:rPr>
      </w:pPr>
      <w:r>
        <w:rPr>
          <w:rFonts w:hint="eastAsia" w:ascii="仿宋" w:eastAsia="仿宋" w:hAnsiTheme="minorEastAsia" w:cstheme="minorEastAsia"/>
          <w:color w:val="000000" w:themeColor="text1"/>
          <w:sz w:val="24"/>
          <w:highlight w:val="none"/>
          <w14:textFill>
            <w14:solidFill>
              <w14:schemeClr w14:val="tx1"/>
            </w14:solidFill>
          </w14:textFill>
        </w:rPr>
        <w:t>3. 质量不达标：校服可能存在检测不合格、做工瑕疵、面料不符合要求等质量问题。</w:t>
      </w:r>
    </w:p>
    <w:p w14:paraId="1A52A3AF">
      <w:pPr>
        <w:spacing w:line="560" w:lineRule="exact"/>
        <w:ind w:firstLine="482"/>
        <w:jc w:val="left"/>
        <w:rPr>
          <w:rFonts w:ascii="仿宋" w:eastAsia="仿宋" w:hAnsiTheme="minorEastAsia" w:cstheme="minorEastAsia"/>
          <w:color w:val="000000" w:themeColor="text1"/>
          <w:sz w:val="24"/>
          <w:highlight w:val="none"/>
          <w14:textFill>
            <w14:solidFill>
              <w14:schemeClr w14:val="tx1"/>
            </w14:solidFill>
          </w14:textFill>
        </w:rPr>
      </w:pPr>
      <w:r>
        <w:rPr>
          <w:rFonts w:hint="eastAsia" w:ascii="仿宋" w:eastAsia="仿宋" w:hAnsiTheme="minorEastAsia" w:cstheme="minorEastAsia"/>
          <w:color w:val="000000" w:themeColor="text1"/>
          <w:sz w:val="24"/>
          <w:highlight w:val="none"/>
          <w14:textFill>
            <w14:solidFill>
              <w14:schemeClr w14:val="tx1"/>
            </w14:solidFill>
          </w14:textFill>
        </w:rPr>
        <w:t>4. 家长投诉：家长可能对校服的款式、材质、价格、尺码等方面提出投诉。</w:t>
      </w:r>
    </w:p>
    <w:p w14:paraId="60C1F1E2">
      <w:pPr>
        <w:spacing w:line="560" w:lineRule="exact"/>
        <w:ind w:firstLine="482"/>
        <w:jc w:val="left"/>
        <w:rPr>
          <w:rFonts w:ascii="仿宋" w:eastAsia="仿宋" w:hAnsiTheme="minorEastAsia" w:cstheme="minorEastAsia"/>
          <w:color w:val="000000" w:themeColor="text1"/>
          <w:sz w:val="24"/>
          <w:highlight w:val="none"/>
          <w14:textFill>
            <w14:solidFill>
              <w14:schemeClr w14:val="tx1"/>
            </w14:solidFill>
          </w14:textFill>
        </w:rPr>
      </w:pPr>
      <w:r>
        <w:rPr>
          <w:rFonts w:hint="eastAsia" w:ascii="仿宋" w:eastAsia="仿宋" w:hAnsiTheme="minorEastAsia" w:cstheme="minorEastAsia"/>
          <w:color w:val="000000" w:themeColor="text1"/>
          <w:sz w:val="24"/>
          <w:highlight w:val="none"/>
          <w14:textFill>
            <w14:solidFill>
              <w14:schemeClr w14:val="tx1"/>
            </w14:solidFill>
          </w14:textFill>
        </w:rPr>
        <w:t>5. 廉政举报：采购过程中可能出现违规操作、利益输送等廉政风险，引发举报。</w:t>
      </w:r>
    </w:p>
    <w:p w14:paraId="7A18C699">
      <w:pPr>
        <w:spacing w:before="200" w:after="100"/>
        <w:jc w:val="left"/>
        <w:outlineLvl w:val="1"/>
        <w:rPr>
          <w:rFonts w:ascii="楷体" w:eastAsia="楷体" w:hAnsiTheme="minorEastAsia" w:cstheme="minorEastAsia"/>
          <w:color w:val="000000" w:themeColor="text1"/>
          <w:sz w:val="32"/>
          <w:highlight w:val="none"/>
          <w14:textFill>
            <w14:solidFill>
              <w14:schemeClr w14:val="tx1"/>
            </w14:solidFill>
          </w14:textFill>
        </w:rPr>
      </w:pPr>
      <w:r>
        <w:rPr>
          <w:rFonts w:hint="eastAsia" w:ascii="楷体" w:eastAsia="楷体" w:hAnsiTheme="minorEastAsia" w:cstheme="minorEastAsia"/>
          <w:color w:val="000000" w:themeColor="text1"/>
          <w:sz w:val="32"/>
          <w:highlight w:val="none"/>
          <w14:textFill>
            <w14:solidFill>
              <w14:schemeClr w14:val="tx1"/>
            </w14:solidFill>
          </w14:textFill>
        </w:rPr>
        <w:t>（二）应对措施</w:t>
      </w:r>
    </w:p>
    <w:p w14:paraId="13D05E31">
      <w:pPr>
        <w:spacing w:line="560" w:lineRule="exact"/>
        <w:ind w:firstLine="482"/>
        <w:jc w:val="left"/>
        <w:rPr>
          <w:rFonts w:ascii="仿宋" w:eastAsia="仿宋" w:hAnsiTheme="minorEastAsia" w:cstheme="minorEastAsia"/>
          <w:color w:val="000000" w:themeColor="text1"/>
          <w:sz w:val="24"/>
          <w:highlight w:val="none"/>
          <w14:textFill>
            <w14:solidFill>
              <w14:schemeClr w14:val="tx1"/>
            </w14:solidFill>
          </w14:textFill>
        </w:rPr>
      </w:pPr>
      <w:r>
        <w:rPr>
          <w:rFonts w:hint="eastAsia" w:ascii="仿宋" w:eastAsia="仿宋" w:hAnsiTheme="minorEastAsia" w:cstheme="minorEastAsia"/>
          <w:color w:val="000000" w:themeColor="text1"/>
          <w:sz w:val="24"/>
          <w:highlight w:val="none"/>
          <w14:textFill>
            <w14:solidFill>
              <w14:schemeClr w14:val="tx1"/>
            </w14:solidFill>
          </w14:textFill>
        </w:rPr>
        <w:t>1. 针对招标质疑投诉：制定质疑投诉处理流程，安排专人负责接收与答复；招标全过程做好记录，留存相关资料，确保流程可追溯；对合理质疑及时处理，对投诉事项按规定移交相关部门核查。</w:t>
      </w:r>
    </w:p>
    <w:p w14:paraId="01C2875A">
      <w:pPr>
        <w:spacing w:line="560" w:lineRule="exact"/>
        <w:ind w:firstLine="482"/>
        <w:jc w:val="left"/>
        <w:rPr>
          <w:rFonts w:ascii="仿宋" w:eastAsia="仿宋" w:hAnsiTheme="minorEastAsia" w:cstheme="minorEastAsia"/>
          <w:color w:val="000000" w:themeColor="text1"/>
          <w:sz w:val="24"/>
          <w:highlight w:val="none"/>
          <w14:textFill>
            <w14:solidFill>
              <w14:schemeClr w14:val="tx1"/>
            </w14:solidFill>
          </w14:textFill>
        </w:rPr>
      </w:pPr>
      <w:r>
        <w:rPr>
          <w:rFonts w:hint="eastAsia" w:ascii="仿宋" w:eastAsia="仿宋" w:hAnsiTheme="minorEastAsia" w:cstheme="minorEastAsia"/>
          <w:color w:val="000000" w:themeColor="text1"/>
          <w:sz w:val="24"/>
          <w:highlight w:val="none"/>
          <w14:textFill>
            <w14:solidFill>
              <w14:schemeClr w14:val="tx1"/>
            </w14:solidFill>
          </w14:textFill>
        </w:rPr>
        <w:t>2. 针对供应商延迟交货：在合同中明确延迟交货的违约金条款，供应商每延迟一天交货，按合同总价的0.5%支付违约金</w:t>
      </w:r>
      <w:r>
        <w:rPr>
          <w:rFonts w:hint="eastAsia" w:ascii="仿宋" w:eastAsia="仿宋" w:hAnsiTheme="minorEastAsia" w:cstheme="minorEastAsia"/>
          <w:color w:val="000000" w:themeColor="text1"/>
          <w:sz w:val="24"/>
          <w:highlight w:val="none"/>
          <w:lang w:eastAsia="zh-CN"/>
          <w14:textFill>
            <w14:solidFill>
              <w14:schemeClr w14:val="tx1"/>
            </w14:solidFill>
          </w14:textFill>
        </w:rPr>
        <w:t>，</w:t>
      </w:r>
      <w:r>
        <w:rPr>
          <w:rFonts w:hint="eastAsia" w:ascii="仿宋" w:eastAsia="仿宋" w:hAnsiTheme="minorEastAsia" w:cstheme="minorEastAsia"/>
          <w:color w:val="000000" w:themeColor="text1"/>
          <w:sz w:val="24"/>
          <w:highlight w:val="none"/>
          <w14:textFill>
            <w14:solidFill>
              <w14:schemeClr w14:val="tx1"/>
            </w14:solidFill>
          </w14:textFill>
        </w:rPr>
        <w:t>超出</w:t>
      </w:r>
      <w:r>
        <w:rPr>
          <w:rFonts w:hint="eastAsia" w:ascii="仿宋" w:eastAsia="仿宋" w:hAnsiTheme="minorEastAsia" w:cstheme="minorEastAsia"/>
          <w:color w:val="000000" w:themeColor="text1"/>
          <w:sz w:val="24"/>
          <w:highlight w:val="none"/>
          <w:lang w:val="en-US" w:eastAsia="zh-CN"/>
          <w14:textFill>
            <w14:solidFill>
              <w14:schemeClr w14:val="tx1"/>
            </w14:solidFill>
          </w14:textFill>
        </w:rPr>
        <w:t>壹</w:t>
      </w:r>
      <w:r>
        <w:rPr>
          <w:rFonts w:hint="eastAsia" w:ascii="仿宋" w:eastAsia="仿宋" w:hAnsiTheme="minorEastAsia" w:cstheme="minorEastAsia"/>
          <w:color w:val="000000" w:themeColor="text1"/>
          <w:sz w:val="24"/>
          <w:highlight w:val="none"/>
          <w14:textFill>
            <w14:solidFill>
              <w14:schemeClr w14:val="tx1"/>
            </w14:solidFill>
          </w14:textFill>
        </w:rPr>
        <w:t>日乙方仍无法交货的，甲方有权解除合同。</w:t>
      </w:r>
    </w:p>
    <w:p w14:paraId="01F2EB55">
      <w:pPr>
        <w:spacing w:line="560" w:lineRule="exact"/>
        <w:ind w:firstLine="482"/>
        <w:jc w:val="left"/>
        <w:rPr>
          <w:rFonts w:ascii="仿宋" w:eastAsia="仿宋" w:hAnsiTheme="minorEastAsia" w:cstheme="minorEastAsia"/>
          <w:color w:val="000000" w:themeColor="text1"/>
          <w:sz w:val="24"/>
          <w:highlight w:val="none"/>
          <w14:textFill>
            <w14:solidFill>
              <w14:schemeClr w14:val="tx1"/>
            </w14:solidFill>
          </w14:textFill>
        </w:rPr>
      </w:pPr>
      <w:r>
        <w:rPr>
          <w:rFonts w:hint="eastAsia" w:ascii="仿宋" w:eastAsia="仿宋" w:hAnsiTheme="minorEastAsia" w:cstheme="minorEastAsia"/>
          <w:color w:val="000000" w:themeColor="text1"/>
          <w:sz w:val="24"/>
          <w:highlight w:val="none"/>
          <w14:textFill>
            <w14:solidFill>
              <w14:schemeClr w14:val="tx1"/>
            </w14:solidFill>
          </w14:textFill>
        </w:rPr>
        <w:t>3. 针对质量不达标：严格执行验收流程，一旦发现质量问题，立即要求供应商返工或更换；情节严重的，解除合同并追究违约责任；将质量不合格的供应商列入黑名单，禁止其参与学校后续采购项目。</w:t>
      </w:r>
    </w:p>
    <w:p w14:paraId="0CA06C02">
      <w:pPr>
        <w:spacing w:line="560" w:lineRule="exact"/>
        <w:ind w:firstLine="482"/>
        <w:jc w:val="left"/>
        <w:rPr>
          <w:rFonts w:ascii="仿宋" w:eastAsia="仿宋" w:hAnsiTheme="minorEastAsia" w:cstheme="minorEastAsia"/>
          <w:color w:val="000000" w:themeColor="text1"/>
          <w:sz w:val="24"/>
          <w:highlight w:val="none"/>
          <w14:textFill>
            <w14:solidFill>
              <w14:schemeClr w14:val="tx1"/>
            </w14:solidFill>
          </w14:textFill>
        </w:rPr>
      </w:pPr>
      <w:r>
        <w:rPr>
          <w:rFonts w:hint="eastAsia" w:ascii="仿宋" w:eastAsia="仿宋" w:hAnsiTheme="minorEastAsia" w:cstheme="minorEastAsia"/>
          <w:color w:val="000000" w:themeColor="text1"/>
          <w:sz w:val="24"/>
          <w:highlight w:val="none"/>
          <w14:textFill>
            <w14:solidFill>
              <w14:schemeClr w14:val="tx1"/>
            </w14:solidFill>
          </w14:textFill>
        </w:rPr>
        <w:t>4. 针对家长投诉：建立家长沟通协调机制，设立投诉咨询电话与邮箱，及时回应家长诉求；对家长反映的问题进行分类处理，能即时解决的当场回应，需核实处理的在3个工作日内给出解决方案。</w:t>
      </w:r>
    </w:p>
    <w:p w14:paraId="6CFE044B">
      <w:pPr>
        <w:spacing w:line="560" w:lineRule="exact"/>
        <w:ind w:firstLine="482"/>
        <w:jc w:val="left"/>
        <w:rPr>
          <w:rFonts w:ascii="仿宋" w:eastAsia="仿宋" w:hAnsiTheme="minorEastAsia" w:cstheme="minorEastAsia"/>
          <w:color w:val="000000" w:themeColor="text1"/>
          <w:sz w:val="24"/>
          <w:highlight w:val="none"/>
          <w14:textFill>
            <w14:solidFill>
              <w14:schemeClr w14:val="tx1"/>
            </w14:solidFill>
          </w14:textFill>
        </w:rPr>
      </w:pPr>
      <w:r>
        <w:rPr>
          <w:rFonts w:hint="eastAsia" w:ascii="仿宋" w:eastAsia="仿宋" w:hAnsiTheme="minorEastAsia" w:cstheme="minorEastAsia"/>
          <w:color w:val="000000" w:themeColor="text1"/>
          <w:sz w:val="24"/>
          <w:highlight w:val="none"/>
          <w14:textFill>
            <w14:solidFill>
              <w14:schemeClr w14:val="tx1"/>
            </w14:solidFill>
          </w14:textFill>
        </w:rPr>
        <w:t>5. 针对廉政风险：严格执行采购相关法律法规，规范采购流程；成立专项监督小组，全程监督采购过程；实行廉政承诺制，采购工作人员与供应商签订廉政承诺书，杜绝违规操作；对廉政举报线索及时核查，一经查实，严肃追究相关人员责任。</w:t>
      </w:r>
    </w:p>
    <w:p w14:paraId="3A2841C5">
      <w:pPr>
        <w:spacing w:before="200" w:after="100"/>
        <w:jc w:val="left"/>
        <w:outlineLvl w:val="0"/>
        <w:rPr>
          <w:rFonts w:ascii="黑体" w:eastAsia="黑体" w:hAnsiTheme="minorEastAsia" w:cstheme="minorEastAsia"/>
          <w:color w:val="000000" w:themeColor="text1"/>
          <w:sz w:val="32"/>
          <w:highlight w:val="none"/>
          <w14:textFill>
            <w14:solidFill>
              <w14:schemeClr w14:val="tx1"/>
            </w14:solidFill>
          </w14:textFill>
        </w:rPr>
      </w:pPr>
      <w:r>
        <w:rPr>
          <w:rFonts w:hint="eastAsia" w:ascii="黑体" w:eastAsia="黑体" w:hAnsiTheme="minorEastAsia" w:cstheme="minorEastAsia"/>
          <w:color w:val="000000" w:themeColor="text1"/>
          <w:sz w:val="32"/>
          <w:highlight w:val="none"/>
          <w:lang w:val="en-US" w:eastAsia="zh-CN"/>
          <w14:textFill>
            <w14:solidFill>
              <w14:schemeClr w14:val="tx1"/>
            </w14:solidFill>
          </w14:textFill>
        </w:rPr>
        <w:t>十</w:t>
      </w:r>
      <w:r>
        <w:rPr>
          <w:rFonts w:hint="eastAsia" w:ascii="黑体" w:eastAsia="黑体" w:hAnsiTheme="minorEastAsia" w:cstheme="minorEastAsia"/>
          <w:color w:val="000000" w:themeColor="text1"/>
          <w:sz w:val="32"/>
          <w:highlight w:val="none"/>
          <w14:textFill>
            <w14:solidFill>
              <w14:schemeClr w14:val="tx1"/>
            </w14:solidFill>
          </w14:textFill>
        </w:rPr>
        <w:t>、监督</w:t>
      </w:r>
    </w:p>
    <w:p w14:paraId="2B59F68D">
      <w:pPr>
        <w:spacing w:before="200" w:after="100"/>
        <w:jc w:val="left"/>
        <w:outlineLvl w:val="1"/>
        <w:rPr>
          <w:rFonts w:ascii="楷体" w:eastAsia="楷体" w:hAnsiTheme="minorEastAsia" w:cstheme="minorEastAsia"/>
          <w:color w:val="000000" w:themeColor="text1"/>
          <w:sz w:val="32"/>
          <w:highlight w:val="none"/>
          <w14:textFill>
            <w14:solidFill>
              <w14:schemeClr w14:val="tx1"/>
            </w14:solidFill>
          </w14:textFill>
        </w:rPr>
      </w:pPr>
      <w:r>
        <w:rPr>
          <w:rFonts w:hint="eastAsia" w:ascii="楷体" w:eastAsia="楷体" w:hAnsiTheme="minorEastAsia" w:cstheme="minorEastAsia"/>
          <w:color w:val="000000" w:themeColor="text1"/>
          <w:sz w:val="32"/>
          <w:highlight w:val="none"/>
          <w14:textFill>
            <w14:solidFill>
              <w14:schemeClr w14:val="tx1"/>
            </w14:solidFill>
          </w14:textFill>
        </w:rPr>
        <w:t>（一）岗位设置规范</w:t>
      </w:r>
    </w:p>
    <w:p w14:paraId="24CA4E78">
      <w:pPr>
        <w:spacing w:line="560" w:lineRule="exact"/>
        <w:ind w:firstLine="482"/>
        <w:jc w:val="left"/>
        <w:rPr>
          <w:rFonts w:ascii="仿宋" w:eastAsia="仿宋" w:hAnsiTheme="minorEastAsia" w:cstheme="minorEastAsia"/>
          <w:color w:val="000000" w:themeColor="text1"/>
          <w:sz w:val="24"/>
          <w:highlight w:val="none"/>
          <w14:textFill>
            <w14:solidFill>
              <w14:schemeClr w14:val="tx1"/>
            </w14:solidFill>
          </w14:textFill>
        </w:rPr>
      </w:pPr>
      <w:r>
        <w:rPr>
          <w:rFonts w:hint="eastAsia" w:ascii="仿宋" w:eastAsia="仿宋" w:hAnsiTheme="minorEastAsia" w:cstheme="minorEastAsia"/>
          <w:color w:val="000000" w:themeColor="text1"/>
          <w:sz w:val="24"/>
          <w:highlight w:val="none"/>
          <w14:textFill>
            <w14:solidFill>
              <w14:schemeClr w14:val="tx1"/>
            </w14:solidFill>
          </w14:textFill>
        </w:rPr>
        <w:t>严格规范不相容岗位设置，采购申请、招标组织、合同签订、付款审核、质量验收等岗位分设，明确各岗位职责，避免一人多岗引发的风险。</w:t>
      </w:r>
    </w:p>
    <w:p w14:paraId="1B6C9FDD">
      <w:pPr>
        <w:spacing w:before="200" w:after="100"/>
        <w:jc w:val="left"/>
        <w:outlineLvl w:val="1"/>
        <w:rPr>
          <w:rFonts w:ascii="楷体" w:eastAsia="楷体" w:hAnsiTheme="minorEastAsia" w:cstheme="minorEastAsia"/>
          <w:color w:val="000000" w:themeColor="text1"/>
          <w:sz w:val="32"/>
          <w:highlight w:val="none"/>
          <w14:textFill>
            <w14:solidFill>
              <w14:schemeClr w14:val="tx1"/>
            </w14:solidFill>
          </w14:textFill>
        </w:rPr>
      </w:pPr>
      <w:r>
        <w:rPr>
          <w:rFonts w:hint="eastAsia" w:ascii="楷体" w:eastAsia="楷体" w:hAnsiTheme="minorEastAsia" w:cstheme="minorEastAsia"/>
          <w:color w:val="000000" w:themeColor="text1"/>
          <w:sz w:val="32"/>
          <w:highlight w:val="none"/>
          <w14:textFill>
            <w14:solidFill>
              <w14:schemeClr w14:val="tx1"/>
            </w14:solidFill>
          </w14:textFill>
        </w:rPr>
        <w:t>（二）专项监督工作组</w:t>
      </w:r>
    </w:p>
    <w:p w14:paraId="0221D14D">
      <w:pPr>
        <w:spacing w:line="560" w:lineRule="exact"/>
        <w:ind w:firstLine="482"/>
        <w:jc w:val="left"/>
        <w:rPr>
          <w:rFonts w:ascii="仿宋" w:eastAsia="仿宋" w:hAnsiTheme="minorEastAsia" w:cstheme="minorEastAsia"/>
          <w:color w:val="000000" w:themeColor="text1"/>
          <w:sz w:val="24"/>
          <w:highlight w:val="none"/>
          <w14:textFill>
            <w14:solidFill>
              <w14:schemeClr w14:val="tx1"/>
            </w14:solidFill>
          </w14:textFill>
        </w:rPr>
      </w:pPr>
      <w:r>
        <w:rPr>
          <w:rFonts w:hint="eastAsia" w:ascii="仿宋" w:eastAsia="仿宋" w:hAnsiTheme="minorEastAsia" w:cstheme="minorEastAsia"/>
          <w:color w:val="000000" w:themeColor="text1"/>
          <w:sz w:val="24"/>
          <w:highlight w:val="none"/>
          <w14:textFill>
            <w14:solidFill>
              <w14:schemeClr w14:val="tx1"/>
            </w14:solidFill>
          </w14:textFill>
        </w:rPr>
        <w:t>成立</w:t>
      </w:r>
      <w:r>
        <w:rPr>
          <w:rFonts w:hint="eastAsia" w:ascii="仿宋" w:eastAsia="仿宋" w:hAnsiTheme="minorEastAsia" w:cstheme="minorEastAsia"/>
          <w:color w:val="000000" w:themeColor="text1"/>
          <w:sz w:val="24"/>
          <w:highlight w:val="none"/>
          <w:lang w:val="en-US" w:eastAsia="zh-CN"/>
          <w14:textFill>
            <w14:solidFill>
              <w14:schemeClr w14:val="tx1"/>
            </w14:solidFill>
          </w14:textFill>
        </w:rPr>
        <w:t>专项工作组（含校方代表1名、专家1名、财务人员1名）监督执行</w:t>
      </w:r>
      <w:r>
        <w:rPr>
          <w:rFonts w:hint="eastAsia" w:ascii="仿宋" w:eastAsia="仿宋" w:hAnsiTheme="minorEastAsia" w:cstheme="minorEastAsia"/>
          <w:color w:val="000000" w:themeColor="text1"/>
          <w:sz w:val="24"/>
          <w:highlight w:val="none"/>
          <w14:textFill>
            <w14:solidFill>
              <w14:schemeClr w14:val="tx1"/>
            </w14:solidFill>
          </w14:textFill>
        </w:rPr>
        <w:t>，全程参与采购方案制定、招标评审、合同签订、质量验收等关键环节，对采购过程进行全面监督。</w:t>
      </w:r>
    </w:p>
    <w:p w14:paraId="33CC59D6">
      <w:pPr>
        <w:spacing w:before="200" w:after="100"/>
        <w:jc w:val="left"/>
        <w:outlineLvl w:val="1"/>
        <w:rPr>
          <w:rFonts w:ascii="楷体" w:eastAsia="楷体" w:hAnsiTheme="minorEastAsia" w:cstheme="minorEastAsia"/>
          <w:color w:val="000000" w:themeColor="text1"/>
          <w:sz w:val="32"/>
          <w:highlight w:val="none"/>
          <w14:textFill>
            <w14:solidFill>
              <w14:schemeClr w14:val="tx1"/>
            </w14:solidFill>
          </w14:textFill>
        </w:rPr>
      </w:pPr>
      <w:r>
        <w:rPr>
          <w:rFonts w:hint="eastAsia" w:ascii="楷体" w:eastAsia="楷体" w:hAnsiTheme="minorEastAsia" w:cstheme="minorEastAsia"/>
          <w:color w:val="000000" w:themeColor="text1"/>
          <w:sz w:val="32"/>
          <w:highlight w:val="none"/>
          <w14:textFill>
            <w14:solidFill>
              <w14:schemeClr w14:val="tx1"/>
            </w14:solidFill>
          </w14:textFill>
        </w:rPr>
        <w:t>（三）信息公开公示</w:t>
      </w:r>
    </w:p>
    <w:p w14:paraId="68D7F89D">
      <w:pPr>
        <w:spacing w:line="560" w:lineRule="exact"/>
        <w:ind w:firstLine="482"/>
        <w:jc w:val="left"/>
        <w:rPr>
          <w:rFonts w:hint="eastAsia" w:ascii="仿宋" w:eastAsia="仿宋" w:hAnsiTheme="minorEastAsia" w:cstheme="minorEastAsia"/>
          <w:color w:val="000000" w:themeColor="text1"/>
          <w:sz w:val="24"/>
          <w:highlight w:val="none"/>
          <w14:textFill>
            <w14:solidFill>
              <w14:schemeClr w14:val="tx1"/>
            </w14:solidFill>
          </w14:textFill>
        </w:rPr>
      </w:pPr>
      <w:r>
        <w:rPr>
          <w:rFonts w:hint="eastAsia" w:ascii="仿宋" w:eastAsia="仿宋" w:hAnsiTheme="minorEastAsia" w:cstheme="minorEastAsia"/>
          <w:color w:val="000000" w:themeColor="text1"/>
          <w:sz w:val="24"/>
          <w:highlight w:val="none"/>
          <w14:textFill>
            <w14:solidFill>
              <w14:schemeClr w14:val="tx1"/>
            </w14:solidFill>
          </w14:textFill>
        </w:rPr>
        <w:t>及时向师生和家长公示校服采购相关信息，包括征求家长意见结果、“三重一大”会议决定、校服采购工作方案、校服选用组织构成情况、选用招标代理机构情况、公开招标信息和文件、招标结果公示、合同签订情况、二次送检结果、校服费用收支情况等相关事项，主动接受社会监督。</w:t>
      </w:r>
    </w:p>
    <w:p w14:paraId="42F7FD5F">
      <w:pPr>
        <w:spacing w:before="200" w:after="100"/>
        <w:jc w:val="left"/>
        <w:outlineLvl w:val="0"/>
        <w:rPr>
          <w:rFonts w:ascii="黑体" w:eastAsia="黑体" w:hAnsiTheme="minorEastAsia" w:cstheme="minorEastAsia"/>
          <w:color w:val="000000" w:themeColor="text1"/>
          <w:sz w:val="32"/>
          <w:highlight w:val="none"/>
          <w14:textFill>
            <w14:solidFill>
              <w14:schemeClr w14:val="tx1"/>
            </w14:solidFill>
          </w14:textFill>
        </w:rPr>
      </w:pPr>
      <w:r>
        <w:rPr>
          <w:rFonts w:hint="eastAsia" w:ascii="黑体" w:eastAsia="黑体" w:hAnsiTheme="minorEastAsia" w:cstheme="minorEastAsia"/>
          <w:color w:val="000000" w:themeColor="text1"/>
          <w:sz w:val="32"/>
          <w:highlight w:val="none"/>
          <w14:textFill>
            <w14:solidFill>
              <w14:schemeClr w14:val="tx1"/>
            </w14:solidFill>
          </w14:textFill>
        </w:rPr>
        <w:t>十</w:t>
      </w:r>
      <w:r>
        <w:rPr>
          <w:rFonts w:hint="eastAsia" w:ascii="黑体" w:eastAsia="黑体" w:hAnsiTheme="minorEastAsia" w:cstheme="minorEastAsia"/>
          <w:color w:val="000000" w:themeColor="text1"/>
          <w:sz w:val="32"/>
          <w:highlight w:val="none"/>
          <w:lang w:val="en-US" w:eastAsia="zh-CN"/>
          <w14:textFill>
            <w14:solidFill>
              <w14:schemeClr w14:val="tx1"/>
            </w14:solidFill>
          </w14:textFill>
        </w:rPr>
        <w:t>一</w:t>
      </w:r>
      <w:r>
        <w:rPr>
          <w:rFonts w:hint="eastAsia" w:ascii="黑体" w:eastAsia="黑体" w:hAnsiTheme="minorEastAsia" w:cstheme="minorEastAsia"/>
          <w:color w:val="000000" w:themeColor="text1"/>
          <w:sz w:val="32"/>
          <w:highlight w:val="none"/>
          <w14:textFill>
            <w14:solidFill>
              <w14:schemeClr w14:val="tx1"/>
            </w14:solidFill>
          </w14:textFill>
        </w:rPr>
        <w:t>、其他事项</w:t>
      </w:r>
    </w:p>
    <w:p w14:paraId="57BEE945">
      <w:pPr>
        <w:spacing w:line="560" w:lineRule="exact"/>
        <w:ind w:firstLine="482"/>
        <w:jc w:val="left"/>
        <w:rPr>
          <w:rFonts w:hint="eastAsia" w:ascii="仿宋" w:eastAsia="仿宋" w:hAnsiTheme="minorEastAsia" w:cstheme="minorEastAsia"/>
          <w:color w:val="000000" w:themeColor="text1"/>
          <w:sz w:val="24"/>
          <w:highlight w:val="none"/>
          <w:lang w:val="zh-CN"/>
          <w14:textFill>
            <w14:solidFill>
              <w14:schemeClr w14:val="tx1"/>
            </w14:solidFill>
          </w14:textFill>
        </w:rPr>
      </w:pPr>
      <w:r>
        <w:rPr>
          <w:rFonts w:hint="eastAsia" w:ascii="仿宋" w:eastAsia="仿宋" w:hAnsiTheme="minorEastAsia" w:cstheme="minorEastAsia"/>
          <w:color w:val="000000" w:themeColor="text1"/>
          <w:sz w:val="24"/>
          <w:highlight w:val="none"/>
          <w:lang w:val="en-US" w:eastAsia="zh-CN"/>
          <w14:textFill>
            <w14:solidFill>
              <w14:schemeClr w14:val="tx1"/>
            </w14:solidFill>
          </w14:textFill>
        </w:rPr>
        <w:t>1. 要求</w:t>
      </w:r>
      <w:r>
        <w:rPr>
          <w:rFonts w:hint="eastAsia" w:ascii="仿宋" w:eastAsia="仿宋" w:hAnsiTheme="minorEastAsia" w:cstheme="minorEastAsia"/>
          <w:color w:val="000000" w:themeColor="text1"/>
          <w:sz w:val="24"/>
          <w:highlight w:val="none"/>
          <w:lang w:val="zh-CN"/>
          <w14:textFill>
            <w14:solidFill>
              <w14:schemeClr w14:val="tx1"/>
            </w14:solidFill>
          </w14:textFill>
        </w:rPr>
        <w:t>投标人保证其提供的校服款式、面料、图案、样品、生产工艺等，不会侵犯任何第三方著作权、专利权、商标权及其他知识产权。如果任何第三方提出侵权指控，投标人须与第三方交涉并承担可能发生的一切法律责任、费用和赔偿。</w:t>
      </w:r>
    </w:p>
    <w:p w14:paraId="03BB2AF1">
      <w:pPr>
        <w:spacing w:line="560" w:lineRule="exact"/>
        <w:ind w:firstLine="482"/>
        <w:jc w:val="left"/>
        <w:rPr>
          <w:rFonts w:hint="eastAsia" w:ascii="仿宋" w:eastAsia="仿宋" w:hAnsiTheme="minorEastAsia" w:cstheme="minorEastAsia"/>
          <w:color w:val="000000" w:themeColor="text1"/>
          <w:sz w:val="24"/>
          <w:highlight w:val="none"/>
          <w:lang w:val="zh-CN"/>
          <w14:textFill>
            <w14:solidFill>
              <w14:schemeClr w14:val="tx1"/>
            </w14:solidFill>
          </w14:textFill>
        </w:rPr>
      </w:pPr>
      <w:r>
        <w:rPr>
          <w:rFonts w:hint="eastAsia" w:ascii="仿宋" w:eastAsia="仿宋" w:hAnsiTheme="minorEastAsia" w:cstheme="minorEastAsia"/>
          <w:color w:val="000000" w:themeColor="text1"/>
          <w:sz w:val="24"/>
          <w:highlight w:val="none"/>
          <w:lang w:val="en-US" w:eastAsia="zh-CN"/>
          <w14:textFill>
            <w14:solidFill>
              <w14:schemeClr w14:val="tx1"/>
            </w14:solidFill>
          </w14:textFill>
        </w:rPr>
        <w:t>2</w:t>
      </w:r>
      <w:r>
        <w:rPr>
          <w:rFonts w:hint="eastAsia" w:ascii="仿宋" w:eastAsia="仿宋" w:hAnsiTheme="minorEastAsia" w:cstheme="minorEastAsia"/>
          <w:color w:val="000000" w:themeColor="text1"/>
          <w:sz w:val="24"/>
          <w:highlight w:val="none"/>
          <w:lang w:val="zh-CN"/>
          <w14:textFill>
            <w14:solidFill>
              <w14:schemeClr w14:val="tx1"/>
            </w14:solidFill>
          </w14:textFill>
        </w:rPr>
        <w:t xml:space="preserve">. </w:t>
      </w:r>
      <w:r>
        <w:rPr>
          <w:rFonts w:hint="eastAsia" w:ascii="仿宋" w:eastAsia="仿宋" w:hAnsiTheme="minorEastAsia" w:cstheme="minorEastAsia"/>
          <w:color w:val="000000" w:themeColor="text1"/>
          <w:sz w:val="24"/>
          <w:highlight w:val="none"/>
          <w:lang w:val="en-US" w:eastAsia="zh-CN"/>
          <w14:textFill>
            <w14:solidFill>
              <w14:schemeClr w14:val="tx1"/>
            </w14:solidFill>
          </w14:textFill>
        </w:rPr>
        <w:t>本项目</w:t>
      </w:r>
      <w:r>
        <w:rPr>
          <w:rFonts w:hint="eastAsia" w:ascii="仿宋" w:eastAsia="仿宋" w:hAnsiTheme="minorEastAsia" w:cstheme="minorEastAsia"/>
          <w:color w:val="000000" w:themeColor="text1"/>
          <w:sz w:val="24"/>
          <w:highlight w:val="none"/>
          <w:lang w:val="zh-CN"/>
          <w14:textFill>
            <w14:solidFill>
              <w14:schemeClr w14:val="tx1"/>
            </w14:solidFill>
          </w14:textFill>
        </w:rPr>
        <w:t>合同期限届满后，</w:t>
      </w:r>
      <w:r>
        <w:rPr>
          <w:rFonts w:hint="eastAsia" w:ascii="仿宋" w:eastAsia="仿宋" w:hAnsiTheme="minorEastAsia" w:cstheme="minorEastAsia"/>
          <w:color w:val="000000" w:themeColor="text1"/>
          <w:sz w:val="24"/>
          <w:highlight w:val="none"/>
          <w:lang w:val="en-US" w:eastAsia="zh-CN"/>
          <w14:textFill>
            <w14:solidFill>
              <w14:schemeClr w14:val="tx1"/>
            </w14:solidFill>
          </w14:textFill>
        </w:rPr>
        <w:t>学校</w:t>
      </w:r>
      <w:r>
        <w:rPr>
          <w:rFonts w:hint="eastAsia" w:ascii="仿宋" w:eastAsia="仿宋" w:hAnsiTheme="minorEastAsia" w:cstheme="minorEastAsia"/>
          <w:color w:val="000000" w:themeColor="text1"/>
          <w:sz w:val="24"/>
          <w:highlight w:val="none"/>
          <w:lang w:val="zh-CN"/>
          <w14:textFill>
            <w14:solidFill>
              <w14:schemeClr w14:val="tx1"/>
            </w14:solidFill>
          </w14:textFill>
        </w:rPr>
        <w:t>在办学存续期间可持续沿用本</w:t>
      </w:r>
      <w:r>
        <w:rPr>
          <w:rFonts w:hint="eastAsia" w:ascii="仿宋" w:eastAsia="仿宋" w:hAnsiTheme="minorEastAsia" w:cstheme="minorEastAsia"/>
          <w:color w:val="000000" w:themeColor="text1"/>
          <w:sz w:val="24"/>
          <w:highlight w:val="none"/>
          <w:lang w:val="en-US" w:eastAsia="zh-CN"/>
          <w14:textFill>
            <w14:solidFill>
              <w14:schemeClr w14:val="tx1"/>
            </w14:solidFill>
          </w14:textFill>
        </w:rPr>
        <w:t>次</w:t>
      </w:r>
      <w:r>
        <w:rPr>
          <w:rFonts w:hint="eastAsia" w:ascii="仿宋" w:eastAsia="仿宋" w:hAnsiTheme="minorEastAsia" w:cstheme="minorEastAsia"/>
          <w:color w:val="000000" w:themeColor="text1"/>
          <w:sz w:val="24"/>
          <w:highlight w:val="none"/>
          <w:lang w:val="zh-CN"/>
          <w14:textFill>
            <w14:solidFill>
              <w14:schemeClr w14:val="tx1"/>
            </w14:solidFill>
          </w14:textFill>
        </w:rPr>
        <w:t>校服款式组织采购，</w:t>
      </w:r>
      <w:r>
        <w:rPr>
          <w:rFonts w:hint="eastAsia" w:ascii="仿宋" w:eastAsia="仿宋" w:hAnsiTheme="minorEastAsia" w:cstheme="minorEastAsia"/>
          <w:color w:val="000000" w:themeColor="text1"/>
          <w:sz w:val="24"/>
          <w:highlight w:val="none"/>
          <w:lang w:val="en-US" w:eastAsia="zh-CN"/>
          <w14:textFill>
            <w14:solidFill>
              <w14:schemeClr w14:val="tx1"/>
            </w14:solidFill>
          </w14:textFill>
        </w:rPr>
        <w:t>中标单位</w:t>
      </w:r>
      <w:r>
        <w:rPr>
          <w:rFonts w:hint="eastAsia" w:ascii="仿宋" w:eastAsia="仿宋" w:hAnsiTheme="minorEastAsia" w:cstheme="minorEastAsia"/>
          <w:color w:val="000000" w:themeColor="text1"/>
          <w:sz w:val="24"/>
          <w:highlight w:val="none"/>
          <w:lang w:val="zh-CN"/>
          <w14:textFill>
            <w14:solidFill>
              <w14:schemeClr w14:val="tx1"/>
            </w14:solidFill>
          </w14:textFill>
        </w:rPr>
        <w:t>不得基于知识产权理由阻挠</w:t>
      </w:r>
      <w:r>
        <w:rPr>
          <w:rFonts w:hint="eastAsia" w:ascii="仿宋" w:eastAsia="仿宋" w:hAnsiTheme="minorEastAsia" w:cstheme="minorEastAsia"/>
          <w:color w:val="000000" w:themeColor="text1"/>
          <w:sz w:val="24"/>
          <w:highlight w:val="none"/>
          <w:lang w:val="en-US" w:eastAsia="zh-CN"/>
          <w14:textFill>
            <w14:solidFill>
              <w14:schemeClr w14:val="tx1"/>
            </w14:solidFill>
          </w14:textFill>
        </w:rPr>
        <w:t>学校</w:t>
      </w:r>
      <w:r>
        <w:rPr>
          <w:rFonts w:hint="eastAsia" w:ascii="仿宋" w:eastAsia="仿宋" w:hAnsiTheme="minorEastAsia" w:cstheme="minorEastAsia"/>
          <w:color w:val="000000" w:themeColor="text1"/>
          <w:sz w:val="24"/>
          <w:highlight w:val="none"/>
          <w:lang w:val="zh-CN"/>
          <w14:textFill>
            <w14:solidFill>
              <w14:schemeClr w14:val="tx1"/>
            </w14:solidFill>
          </w14:textFill>
        </w:rPr>
        <w:t>另行招标、更换供应商。</w:t>
      </w:r>
    </w:p>
    <w:p w14:paraId="37F5C58D">
      <w:pPr>
        <w:spacing w:line="560" w:lineRule="exact"/>
        <w:ind w:firstLine="482"/>
        <w:jc w:val="left"/>
        <w:rPr>
          <w:rFonts w:hint="eastAsia" w:ascii="仿宋" w:eastAsia="仿宋" w:hAnsiTheme="minorEastAsia" w:cstheme="minorEastAsia"/>
          <w:color w:val="000000" w:themeColor="text1"/>
          <w:sz w:val="24"/>
          <w:highlight w:val="none"/>
          <w14:textFill>
            <w14:solidFill>
              <w14:schemeClr w14:val="tx1"/>
            </w14:solidFill>
          </w14:textFill>
        </w:rPr>
      </w:pPr>
      <w:r>
        <w:rPr>
          <w:rFonts w:hint="eastAsia" w:ascii="仿宋" w:eastAsia="仿宋" w:hAnsiTheme="minorEastAsia" w:cstheme="minorEastAsia"/>
          <w:color w:val="000000" w:themeColor="text1"/>
          <w:sz w:val="24"/>
          <w:highlight w:val="none"/>
          <w:lang w:val="en-US" w:eastAsia="zh-CN"/>
          <w14:textFill>
            <w14:solidFill>
              <w14:schemeClr w14:val="tx1"/>
            </w14:solidFill>
          </w14:textFill>
        </w:rPr>
        <w:t>3</w:t>
      </w:r>
      <w:r>
        <w:rPr>
          <w:rFonts w:hint="eastAsia" w:ascii="仿宋" w:eastAsia="仿宋" w:hAnsiTheme="minorEastAsia" w:cstheme="minorEastAsia"/>
          <w:color w:val="000000" w:themeColor="text1"/>
          <w:sz w:val="24"/>
          <w:highlight w:val="none"/>
          <w14:textFill>
            <w14:solidFill>
              <w14:schemeClr w14:val="tx1"/>
            </w14:solidFill>
          </w14:textFill>
        </w:rPr>
        <w:t>. 供应商需在生产过程中严格保护学生个人信息，不得泄露学生姓名、班级等相关数据。</w:t>
      </w:r>
    </w:p>
    <w:p w14:paraId="2A8FF569">
      <w:pPr>
        <w:spacing w:line="560" w:lineRule="exact"/>
        <w:ind w:firstLine="482"/>
        <w:jc w:val="left"/>
        <w:rPr>
          <w:rFonts w:hint="eastAsia" w:ascii="仿宋" w:eastAsia="仿宋" w:hAnsiTheme="minorEastAsia" w:cstheme="minorEastAsia"/>
          <w:color w:val="000000" w:themeColor="text1"/>
          <w:sz w:val="24"/>
          <w:highlight w:val="none"/>
          <w14:textFill>
            <w14:solidFill>
              <w14:schemeClr w14:val="tx1"/>
            </w14:solidFill>
          </w14:textFill>
        </w:rPr>
      </w:pPr>
      <w:r>
        <w:rPr>
          <w:rFonts w:hint="eastAsia" w:ascii="仿宋" w:eastAsia="仿宋" w:hAnsiTheme="minorEastAsia" w:cstheme="minorEastAsia"/>
          <w:color w:val="000000" w:themeColor="text1"/>
          <w:sz w:val="24"/>
          <w:highlight w:val="none"/>
          <w:lang w:val="en-US" w:eastAsia="zh-CN"/>
          <w14:textFill>
            <w14:solidFill>
              <w14:schemeClr w14:val="tx1"/>
            </w14:solidFill>
          </w14:textFill>
        </w:rPr>
        <w:t>4</w:t>
      </w:r>
      <w:r>
        <w:rPr>
          <w:rFonts w:hint="eastAsia" w:ascii="仿宋" w:eastAsia="仿宋" w:hAnsiTheme="minorEastAsia" w:cstheme="minorEastAsia"/>
          <w:color w:val="000000" w:themeColor="text1"/>
          <w:sz w:val="24"/>
          <w:highlight w:val="none"/>
          <w14:textFill>
            <w14:solidFill>
              <w14:schemeClr w14:val="tx1"/>
            </w14:solidFill>
          </w14:textFill>
        </w:rPr>
        <w:t>. 本方案未尽事宜，由专项工作组协商解决，重大事项报学校领导班子集体研究决定。</w:t>
      </w:r>
    </w:p>
    <w:p w14:paraId="3324AFFB">
      <w:pPr>
        <w:spacing w:line="560" w:lineRule="exact"/>
        <w:ind w:firstLine="4560" w:firstLineChars="1900"/>
        <w:jc w:val="right"/>
        <w:rPr>
          <w:rFonts w:ascii="仿宋" w:hAnsi="宋体" w:eastAsia="仿宋" w:cs="宋体"/>
          <w:sz w:val="24"/>
          <w:highlight w:val="none"/>
        </w:rPr>
      </w:pPr>
      <w:r>
        <w:rPr>
          <w:rFonts w:hint="eastAsia" w:ascii="仿宋" w:hAnsi="宋体" w:eastAsia="仿宋" w:cs="宋体"/>
          <w:color w:val="000000" w:themeColor="text1"/>
          <w:sz w:val="24"/>
          <w:lang w:val="en-US" w:eastAsia="zh-CN"/>
          <w14:textFill>
            <w14:solidFill>
              <w14:schemeClr w14:val="tx1"/>
            </w14:solidFill>
          </w14:textFill>
        </w:rPr>
        <w:t>吴江经济技术开发区花港迎春小学</w:t>
      </w:r>
      <w:r>
        <w:rPr>
          <w:rFonts w:hint="eastAsia" w:ascii="仿宋" w:hAnsi="宋体" w:eastAsia="仿宋" w:cs="宋体"/>
          <w:color w:val="000000" w:themeColor="text1"/>
          <w:sz w:val="24"/>
          <w:highlight w:val="none"/>
          <w14:textFill>
            <w14:solidFill>
              <w14:schemeClr w14:val="tx1"/>
            </w14:solidFill>
          </w14:textFill>
        </w:rPr>
        <w:t>2</w:t>
      </w:r>
      <w:r>
        <w:rPr>
          <w:rFonts w:hint="eastAsia" w:ascii="仿宋" w:hAnsi="宋体" w:eastAsia="仿宋" w:cs="宋体"/>
          <w:sz w:val="24"/>
          <w:highlight w:val="none"/>
        </w:rPr>
        <w:t>02</w:t>
      </w:r>
      <w:r>
        <w:rPr>
          <w:rFonts w:ascii="仿宋" w:hAnsi="宋体" w:eastAsia="仿宋" w:cs="宋体"/>
          <w:sz w:val="24"/>
          <w:highlight w:val="none"/>
        </w:rPr>
        <w:t>6</w:t>
      </w:r>
      <w:r>
        <w:rPr>
          <w:rFonts w:hint="eastAsia" w:ascii="仿宋" w:hAnsi="宋体" w:eastAsia="仿宋" w:cs="宋体"/>
          <w:sz w:val="24"/>
          <w:highlight w:val="none"/>
        </w:rPr>
        <w:t>年</w:t>
      </w:r>
      <w:r>
        <w:rPr>
          <w:rFonts w:hint="eastAsia" w:ascii="仿宋" w:hAnsi="宋体" w:eastAsia="仿宋" w:cs="宋体"/>
          <w:sz w:val="24"/>
          <w:highlight w:val="none"/>
          <w:lang w:val="en-US" w:eastAsia="zh-CN"/>
        </w:rPr>
        <w:t>7</w:t>
      </w:r>
      <w:r>
        <w:rPr>
          <w:rFonts w:hint="eastAsia" w:ascii="仿宋" w:hAnsi="宋体" w:eastAsia="仿宋" w:cs="宋体"/>
          <w:sz w:val="24"/>
          <w:highlight w:val="none"/>
        </w:rPr>
        <w:t>月</w:t>
      </w:r>
      <w:r>
        <w:rPr>
          <w:rFonts w:hint="eastAsia" w:ascii="仿宋" w:hAnsi="宋体" w:eastAsia="仿宋" w:cs="宋体"/>
          <w:sz w:val="24"/>
          <w:highlight w:val="none"/>
          <w:lang w:val="en-US" w:eastAsia="zh-CN"/>
        </w:rPr>
        <w:t>31</w:t>
      </w:r>
      <w:r>
        <w:rPr>
          <w:rFonts w:hint="eastAsia" w:ascii="仿宋" w:hAnsi="宋体" w:eastAsia="仿宋" w:cs="宋体"/>
          <w:sz w:val="24"/>
          <w:highlight w:val="none"/>
        </w:rPr>
        <w:t>日</w:t>
      </w:r>
    </w:p>
    <w:p w14:paraId="4700D6D5">
      <w:pPr>
        <w:spacing w:line="560" w:lineRule="exact"/>
        <w:jc w:val="both"/>
        <w:rPr>
          <w:rFonts w:ascii="仿宋" w:hAnsi="宋体" w:eastAsia="仿宋" w:cs="宋体"/>
          <w:sz w:val="24"/>
        </w:rPr>
      </w:pPr>
    </w:p>
    <w:p w14:paraId="7B3BD5FD">
      <w:pPr>
        <w:spacing w:before="200" w:after="100"/>
        <w:jc w:val="left"/>
        <w:outlineLvl w:val="0"/>
        <w:rPr>
          <w:rFonts w:hint="eastAsia" w:ascii="黑体" w:hAnsi="宋体" w:eastAsia="黑体" w:cs="宋体"/>
          <w:sz w:val="32"/>
          <w:highlight w:val="none"/>
        </w:rPr>
      </w:pPr>
    </w:p>
    <w:p w14:paraId="5B809E2F">
      <w:pPr>
        <w:spacing w:before="200" w:after="100"/>
        <w:jc w:val="left"/>
        <w:outlineLvl w:val="1"/>
        <w:rPr>
          <w:rFonts w:hint="eastAsia" w:ascii="楷体" w:hAnsi="宋体" w:eastAsia="楷体" w:cs="宋体"/>
          <w:sz w:val="32"/>
          <w:highlight w:val="none"/>
        </w:rPr>
      </w:pPr>
    </w:p>
    <w:p w14:paraId="4D7F0778">
      <w:pPr>
        <w:spacing w:line="560" w:lineRule="exact"/>
        <w:jc w:val="left"/>
        <w:rPr>
          <w:rFonts w:ascii="仿宋" w:hAnsi="宋体" w:eastAsia="仿宋" w:cs="宋体"/>
          <w:color w:val="auto"/>
          <w:sz w:val="24"/>
          <w:highlight w:val="none"/>
        </w:rPr>
      </w:pPr>
    </w:p>
    <w:p w14:paraId="678029C7">
      <w:pPr>
        <w:spacing w:before="200" w:after="100"/>
        <w:jc w:val="left"/>
        <w:outlineLvl w:val="1"/>
        <w:rPr>
          <w:rFonts w:hint="eastAsia" w:ascii="楷体" w:hAnsi="宋体" w:eastAsia="楷体" w:cs="宋体"/>
          <w:sz w:val="32"/>
        </w:rPr>
      </w:pPr>
    </w:p>
    <w:p w14:paraId="08848544">
      <w:pPr>
        <w:spacing w:line="560" w:lineRule="exact"/>
        <w:ind w:firstLine="482"/>
        <w:jc w:val="left"/>
        <w:rPr>
          <w:rFonts w:hint="eastAsia" w:ascii="仿宋" w:hAnsi="宋体" w:eastAsia="仿宋" w:cs="宋体"/>
          <w:sz w:val="24"/>
        </w:rPr>
      </w:pPr>
    </w:p>
    <w:p w14:paraId="575AA348">
      <w:pPr>
        <w:numPr>
          <w:ilvl w:val="0"/>
          <w:numId w:val="0"/>
        </w:numPr>
        <w:spacing w:line="360" w:lineRule="auto"/>
        <w:rPr>
          <w:rFonts w:hint="eastAsia" w:ascii="宋体" w:hAnsi="宋体" w:eastAsia="宋体" w:cs="宋体"/>
          <w:color w:val="auto"/>
          <w:sz w:val="24"/>
          <w:highlight w:val="none"/>
          <w:lang w:val="en-US" w:eastAsia="zh-CN"/>
        </w:rPr>
      </w:pPr>
    </w:p>
    <w:p w14:paraId="7ED36BC4">
      <w:pPr>
        <w:spacing w:line="560" w:lineRule="exact"/>
        <w:jc w:val="left"/>
        <w:rPr>
          <w:rFonts w:hint="eastAsia" w:ascii="仿宋" w:hAnsi="宋体" w:eastAsia="仿宋" w:cs="宋体"/>
          <w:sz w:val="24"/>
        </w:rPr>
      </w:pPr>
    </w:p>
    <w:p w14:paraId="456F2914">
      <w:pPr>
        <w:spacing w:line="560" w:lineRule="exact"/>
        <w:ind w:firstLine="482"/>
        <w:jc w:val="left"/>
        <w:rPr>
          <w:rFonts w:hint="eastAsia" w:ascii="仿宋" w:hAnsi="宋体" w:eastAsia="仿宋" w:cs="宋体"/>
          <w:sz w:val="24"/>
        </w:rPr>
      </w:pPr>
    </w:p>
    <w:p w14:paraId="7D9D6EB7">
      <w:pPr>
        <w:spacing w:line="560" w:lineRule="exact"/>
        <w:ind w:firstLine="482"/>
        <w:jc w:val="left"/>
        <w:rPr>
          <w:rFonts w:hint="eastAsia" w:ascii="仿宋" w:hAnsi="宋体" w:eastAsia="仿宋" w:cs="宋体"/>
          <w:sz w:val="24"/>
        </w:rPr>
      </w:pPr>
    </w:p>
    <w:p w14:paraId="56ED729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altName w:val="宋体"/>
    <w:panose1 w:val="02000500000000000000"/>
    <w:charset w:val="86"/>
    <w:family w:val="auto"/>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KSOFE885277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68FA10"/>
    <w:multiLevelType w:val="singleLevel"/>
    <w:tmpl w:val="A068FA10"/>
    <w:lvl w:ilvl="0" w:tentative="0">
      <w:start w:val="3"/>
      <w:numFmt w:val="chineseCounting"/>
      <w:suff w:val="nothing"/>
      <w:lvlText w:val="（%1）"/>
      <w:lvlJc w:val="left"/>
      <w:rPr>
        <w:rFonts w:hint="eastAsia"/>
      </w:rPr>
    </w:lvl>
  </w:abstractNum>
  <w:abstractNum w:abstractNumId="1">
    <w:nsid w:val="4DBD2EC9"/>
    <w:multiLevelType w:val="singleLevel"/>
    <w:tmpl w:val="4DBD2EC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8B1D7A"/>
    <w:rsid w:val="0147288D"/>
    <w:rsid w:val="029307AF"/>
    <w:rsid w:val="049A43B3"/>
    <w:rsid w:val="06425AFA"/>
    <w:rsid w:val="0A1B0CC9"/>
    <w:rsid w:val="0A67753A"/>
    <w:rsid w:val="0D251E05"/>
    <w:rsid w:val="1244007E"/>
    <w:rsid w:val="13EA2E38"/>
    <w:rsid w:val="1C885008"/>
    <w:rsid w:val="258B1D7A"/>
    <w:rsid w:val="2697085D"/>
    <w:rsid w:val="307123A6"/>
    <w:rsid w:val="30FB030B"/>
    <w:rsid w:val="316176AA"/>
    <w:rsid w:val="39B6572C"/>
    <w:rsid w:val="3B912DD7"/>
    <w:rsid w:val="3F9F7883"/>
    <w:rsid w:val="4255123F"/>
    <w:rsid w:val="4B7E0869"/>
    <w:rsid w:val="4F8314AB"/>
    <w:rsid w:val="5299483B"/>
    <w:rsid w:val="5D8D2FA6"/>
    <w:rsid w:val="60280B16"/>
    <w:rsid w:val="621E20C4"/>
    <w:rsid w:val="667A6B1F"/>
    <w:rsid w:val="66D81D6A"/>
    <w:rsid w:val="67B26453"/>
    <w:rsid w:val="686C44C5"/>
    <w:rsid w:val="69510E52"/>
    <w:rsid w:val="722F693E"/>
    <w:rsid w:val="78DD6F08"/>
    <w:rsid w:val="79440EAD"/>
    <w:rsid w:val="799D4FE2"/>
    <w:rsid w:val="7C791920"/>
    <w:rsid w:val="7F242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Table Text"/>
    <w:basedOn w:val="1"/>
    <w:semiHidden/>
    <w:qFormat/>
    <w:uiPriority w:val="0"/>
    <w:rPr>
      <w:rFonts w:ascii="宋体" w:hAnsi="宋体" w:eastAsia="宋体" w:cs="宋体"/>
      <w:sz w:val="24"/>
      <w:szCs w:val="24"/>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999</Words>
  <Characters>1038</Characters>
  <Lines>0</Lines>
  <Paragraphs>0</Paragraphs>
  <TotalTime>59</TotalTime>
  <ScaleCrop>false</ScaleCrop>
  <LinksUpToDate>false</LinksUpToDate>
  <CharactersWithSpaces>1049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2026-08-10T02:28:00Z</dcterms:created>
  <dc:creator>董良</dc:creator>
  <cp:lastModifiedBy>董良</cp:lastModifiedBy>
  <cp:lastPrinted>2026-08-13T02:04:00Z</cp:lastPrinted>
  <dcterms:modified xsi:type="dcterms:W3CDTF">2026-08-13T02:08:51Z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38AAF2CE44C340B1A1F3D7F2C32841C5_11</vt:lpwstr>
  </property>
  <property fmtid="{D5CDD505-2E9C-101B-9397-08002B2CF9AE}" pid="4" name="KSOTemplateDocerSaveRecord">
    <vt:lpwstr>eyJoZGlkIjoiYjE3ZTU4ZGMzMjUyNjQxYTI2YmQ1NGRhMmM3N2UyMTYiLCJ1c2VySWQiOiIzNjM0NTg5MDkifQ==</vt:lpwstr>
  </property>
</Properties>
</file>